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000000" w:themeColor="text1"/>
          <w:szCs w:val="21"/>
          <w14:textFill>
            <w14:solidFill>
              <w14:schemeClr w14:val="tx1"/>
            </w14:solidFill>
          </w14:textFill>
        </w:rPr>
      </w:pPr>
      <w:bookmarkStart w:id="0" w:name="_Toc15306267"/>
    </w:p>
    <w:p>
      <w:pPr>
        <w:pStyle w:val="5"/>
        <w:spacing w:before="93"/>
        <w:outlineLvl w:val="9"/>
        <w:rPr>
          <w:color w:val="000000" w:themeColor="text1"/>
          <w14:textFill>
            <w14:solidFill>
              <w14:schemeClr w14:val="tx1"/>
            </w14:solidFill>
          </w14:textFill>
        </w:rPr>
      </w:pPr>
    </w:p>
    <w:p>
      <w:pPr>
        <w:spacing w:line="600" w:lineRule="exact"/>
        <w:jc w:val="center"/>
        <w:outlineLvl w:val="9"/>
        <w:rPr>
          <w:rFonts w:ascii="方正小标宋简体" w:hAnsi="宋体" w:eastAsia="方正小标宋简体"/>
          <w:color w:val="000000" w:themeColor="text1"/>
          <w:sz w:val="72"/>
          <w:szCs w:val="72"/>
          <w14:textFill>
            <w14:solidFill>
              <w14:schemeClr w14:val="tx1"/>
            </w14:solidFill>
          </w14:textFill>
        </w:rPr>
      </w:pPr>
    </w:p>
    <w:p>
      <w:pPr>
        <w:spacing w:line="600" w:lineRule="exact"/>
        <w:jc w:val="center"/>
        <w:outlineLvl w:val="9"/>
        <w:rPr>
          <w:rFonts w:ascii="方正小标宋简体" w:hAnsi="宋体" w:eastAsia="方正小标宋简体"/>
          <w:color w:val="000000" w:themeColor="text1"/>
          <w:sz w:val="72"/>
          <w:szCs w:val="72"/>
          <w14:textFill>
            <w14:solidFill>
              <w14:schemeClr w14:val="tx1"/>
            </w14:solidFill>
          </w14:textFill>
        </w:rPr>
      </w:pPr>
    </w:p>
    <w:p>
      <w:pPr>
        <w:adjustRightInd w:val="0"/>
        <w:snapToGrid w:val="0"/>
        <w:spacing w:line="360" w:lineRule="auto"/>
        <w:jc w:val="center"/>
        <w:outlineLvl w:val="9"/>
        <w:rPr>
          <w:rFonts w:hint="eastAsia" w:ascii="方正小标宋简体" w:hAnsi="方正小标宋简体" w:eastAsia="方正小标宋简体" w:cs="方正小标宋简体"/>
          <w:color w:val="000000" w:themeColor="text1"/>
          <w:sz w:val="72"/>
          <w:szCs w:val="72"/>
          <w14:textFill>
            <w14:solidFill>
              <w14:schemeClr w14:val="tx1"/>
            </w14:solidFill>
          </w14:textFill>
        </w:rPr>
      </w:pPr>
      <w:bookmarkStart w:id="1" w:name="_Toc15396597"/>
      <w:bookmarkStart w:id="2" w:name="_Toc15378441"/>
      <w:bookmarkStart w:id="3" w:name="_Toc15377425"/>
      <w:bookmarkStart w:id="4" w:name="_Toc27494"/>
      <w:bookmarkStart w:id="5" w:name="_Toc15377193"/>
      <w:bookmarkStart w:id="6" w:name="_Toc15396475"/>
      <w:r>
        <w:rPr>
          <w:rFonts w:hint="eastAsia" w:ascii="方正小标宋简体" w:hAnsi="方正小标宋简体" w:eastAsia="方正小标宋简体" w:cs="方正小标宋简体"/>
          <w:color w:val="000000" w:themeColor="text1"/>
          <w:sz w:val="72"/>
          <w:szCs w:val="72"/>
          <w14:textFill>
            <w14:solidFill>
              <w14:schemeClr w14:val="tx1"/>
            </w14:solidFill>
          </w14:textFill>
        </w:rPr>
        <w:t>2023年度</w:t>
      </w:r>
      <w:bookmarkEnd w:id="0"/>
      <w:bookmarkEnd w:id="1"/>
      <w:bookmarkEnd w:id="2"/>
      <w:bookmarkEnd w:id="3"/>
      <w:bookmarkEnd w:id="4"/>
      <w:bookmarkEnd w:id="5"/>
      <w:bookmarkEnd w:id="6"/>
      <w:bookmarkStart w:id="7" w:name="_Toc15396598"/>
      <w:bookmarkStart w:id="8" w:name="_Toc15378442"/>
      <w:bookmarkStart w:id="9" w:name="_Toc15377194"/>
      <w:bookmarkStart w:id="10" w:name="_Toc15396476"/>
      <w:bookmarkStart w:id="11" w:name="_Toc15377426"/>
      <w:bookmarkStart w:id="12" w:name="_Toc15306268"/>
    </w:p>
    <w:p>
      <w:pPr>
        <w:adjustRightInd w:val="0"/>
        <w:snapToGrid w:val="0"/>
        <w:spacing w:line="360" w:lineRule="auto"/>
        <w:jc w:val="center"/>
        <w:outlineLvl w:val="9"/>
        <w:rPr>
          <w:rFonts w:hint="eastAsia" w:ascii="方正小标宋简体" w:hAnsi="方正小标宋简体" w:eastAsia="方正小标宋简体" w:cs="方正小标宋简体"/>
          <w:color w:val="000000" w:themeColor="text1"/>
          <w:sz w:val="72"/>
          <w:szCs w:val="72"/>
          <w14:textFill>
            <w14:solidFill>
              <w14:schemeClr w14:val="tx1"/>
            </w14:solidFill>
          </w14:textFill>
        </w:rPr>
      </w:pPr>
      <w:bookmarkStart w:id="13" w:name="_Toc19265"/>
      <w:r>
        <w:rPr>
          <w:rFonts w:hint="eastAsia" w:ascii="方正小标宋简体" w:hAnsi="方正小标宋简体" w:eastAsia="方正小标宋简体" w:cs="方正小标宋简体"/>
          <w:color w:val="000000" w:themeColor="text1"/>
          <w:sz w:val="72"/>
          <w:szCs w:val="72"/>
          <w14:textFill>
            <w14:solidFill>
              <w14:schemeClr w14:val="tx1"/>
            </w14:solidFill>
          </w14:textFill>
        </w:rPr>
        <w:t>广元市以工代赈事务中心</w:t>
      </w:r>
      <w:bookmarkEnd w:id="13"/>
    </w:p>
    <w:p>
      <w:pPr>
        <w:adjustRightInd w:val="0"/>
        <w:snapToGrid w:val="0"/>
        <w:spacing w:line="360" w:lineRule="auto"/>
        <w:jc w:val="center"/>
        <w:outlineLvl w:val="9"/>
        <w:rPr>
          <w:rFonts w:ascii="方正小标宋简体" w:hAnsi="方正小标宋简体" w:eastAsia="方正小标宋简体" w:cs="方正小标宋简体"/>
          <w:color w:val="000000" w:themeColor="text1"/>
          <w:sz w:val="72"/>
          <w:szCs w:val="72"/>
          <w14:textFill>
            <w14:solidFill>
              <w14:schemeClr w14:val="tx1"/>
            </w14:solidFill>
          </w14:textFill>
        </w:rPr>
      </w:pPr>
      <w:bookmarkStart w:id="14" w:name="_Toc13004"/>
      <w:r>
        <w:rPr>
          <w:rFonts w:hint="eastAsia" w:ascii="方正小标宋简体" w:hAnsi="方正小标宋简体" w:eastAsia="方正小标宋简体" w:cs="方正小标宋简体"/>
          <w:color w:val="000000" w:themeColor="text1"/>
          <w:sz w:val="72"/>
          <w:szCs w:val="72"/>
          <w:lang w:eastAsia="zh-CN"/>
          <w14:textFill>
            <w14:solidFill>
              <w14:schemeClr w14:val="tx1"/>
            </w14:solidFill>
          </w14:textFill>
        </w:rPr>
        <w:t>部门</w:t>
      </w:r>
      <w:r>
        <w:rPr>
          <w:rFonts w:hint="eastAsia" w:ascii="方正小标宋简体" w:hAnsi="方正小标宋简体" w:eastAsia="方正小标宋简体" w:cs="方正小标宋简体"/>
          <w:color w:val="000000" w:themeColor="text1"/>
          <w:sz w:val="72"/>
          <w:szCs w:val="72"/>
          <w14:textFill>
            <w14:solidFill>
              <w14:schemeClr w14:val="tx1"/>
            </w14:solidFill>
          </w14:textFill>
        </w:rPr>
        <w:t>决算</w:t>
      </w:r>
      <w:bookmarkEnd w:id="7"/>
      <w:bookmarkEnd w:id="8"/>
      <w:bookmarkEnd w:id="9"/>
      <w:bookmarkEnd w:id="10"/>
      <w:bookmarkEnd w:id="11"/>
      <w:bookmarkEnd w:id="12"/>
      <w:bookmarkEnd w:id="14"/>
    </w:p>
    <w:p>
      <w:pPr>
        <w:adjustRightInd w:val="0"/>
        <w:snapToGrid w:val="0"/>
        <w:spacing w:line="360" w:lineRule="auto"/>
        <w:jc w:val="center"/>
        <w:outlineLvl w:val="0"/>
        <w:rPr>
          <w:rFonts w:ascii="方正小标宋简体" w:hAnsi="宋体" w:eastAsia="方正小标宋简体"/>
          <w:color w:val="000000" w:themeColor="text1"/>
          <w:sz w:val="52"/>
          <w:szCs w:val="52"/>
          <w14:textFill>
            <w14:solidFill>
              <w14:schemeClr w14:val="tx1"/>
            </w14:solidFill>
          </w14:textFill>
        </w:rPr>
      </w:pPr>
    </w:p>
    <w:p>
      <w:pPr>
        <w:rPr>
          <w:rFonts w:hint="eastAsia" w:ascii="黑体" w:hAnsi="黑体" w:eastAsia="黑体"/>
          <w:color w:val="000000" w:themeColor="text1"/>
          <w:sz w:val="48"/>
          <w:szCs w:val="48"/>
          <w14:textFill>
            <w14:solidFill>
              <w14:schemeClr w14:val="tx1"/>
            </w14:solidFill>
          </w14:textFill>
        </w:rPr>
      </w:pPr>
      <w:r>
        <w:rPr>
          <w:rFonts w:hint="eastAsia" w:ascii="黑体" w:hAnsi="黑体" w:eastAsia="黑体"/>
          <w:color w:val="000000" w:themeColor="text1"/>
          <w:sz w:val="48"/>
          <w:szCs w:val="48"/>
          <w14:textFill>
            <w14:solidFill>
              <w14:schemeClr w14:val="tx1"/>
            </w14:solidFill>
          </w14:textFill>
        </w:rPr>
        <w:br w:type="page"/>
      </w:r>
    </w:p>
    <w:p>
      <w:pPr>
        <w:widowControl/>
        <w:jc w:val="center"/>
        <w:outlineLvl w:val="9"/>
        <w:rPr>
          <w:rFonts w:hint="eastAsia" w:ascii="黑体" w:hAnsi="黑体" w:eastAsia="黑体"/>
          <w:color w:val="000000" w:themeColor="text1"/>
          <w:sz w:val="48"/>
          <w:szCs w:val="48"/>
          <w14:textFill>
            <w14:solidFill>
              <w14:schemeClr w14:val="tx1"/>
            </w14:solidFill>
          </w14:textFill>
        </w:rPr>
        <w:sectPr>
          <w:headerReference r:id="rId4" w:type="first"/>
          <w:footerReference r:id="rId5" w:type="first"/>
          <w:headerReference r:id="rId3" w:type="default"/>
          <w:pgSz w:w="11906" w:h="16838"/>
          <w:pgMar w:top="2098" w:right="1474" w:bottom="1984" w:left="1587" w:header="851" w:footer="1559" w:gutter="0"/>
          <w:pgNumType w:fmt="decimal"/>
          <w:cols w:space="425" w:num="1"/>
          <w:docGrid w:type="lines" w:linePitch="435" w:charSpace="0"/>
        </w:sectPr>
      </w:pPr>
    </w:p>
    <w:p>
      <w:pPr>
        <w:widowControl/>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目</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 xml:space="preserve">  </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录</w:t>
      </w:r>
    </w:p>
    <w:p>
      <w:pPr>
        <w:widowControl/>
        <w:jc w:val="center"/>
        <w:rPr>
          <w:rFonts w:ascii="黑体" w:hAnsi="黑体" w:eastAsia="黑体" w:cstheme="minorBidi"/>
          <w:color w:val="000000" w:themeColor="text1"/>
          <w:sz w:val="28"/>
          <w:szCs w:val="28"/>
          <w14:textFill>
            <w14:solidFill>
              <w14:schemeClr w14:val="tx1"/>
            </w14:solidFill>
          </w14:textFill>
        </w:rPr>
      </w:pPr>
    </w:p>
    <w:p>
      <w:pPr>
        <w:pStyle w:val="11"/>
        <w:rPr>
          <w:rFonts w:hint="eastAsia" w:ascii="楷体_GB2312" w:hAnsi="楷体_GB2312" w:eastAsia="楷体_GB2312" w:cs="楷体_GB2312"/>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公开时间：</w:t>
      </w:r>
      <w:r>
        <w:rPr>
          <w:rFonts w:hint="eastAsia" w:ascii="楷体_GB2312" w:hAnsi="楷体_GB2312" w:eastAsia="楷体_GB2312" w:cs="楷体_GB2312"/>
          <w:color w:val="000000" w:themeColor="text1"/>
          <w:highlight w:val="none"/>
          <w14:textFill>
            <w14:solidFill>
              <w14:schemeClr w14:val="tx1"/>
            </w14:solidFill>
          </w14:textFill>
        </w:rPr>
        <w:t>20</w:t>
      </w:r>
      <w:r>
        <w:rPr>
          <w:rFonts w:hint="eastAsia" w:ascii="楷体_GB2312" w:hAnsi="楷体_GB2312" w:eastAsia="楷体_GB2312" w:cs="楷体_GB2312"/>
          <w:color w:val="000000" w:themeColor="text1"/>
          <w:highlight w:val="none"/>
          <w:lang w:val="en-US" w:eastAsia="zh-CN"/>
          <w14:textFill>
            <w14:solidFill>
              <w14:schemeClr w14:val="tx1"/>
            </w14:solidFill>
          </w14:textFill>
        </w:rPr>
        <w:t>24</w:t>
      </w:r>
      <w:r>
        <w:rPr>
          <w:rFonts w:hint="eastAsia" w:ascii="楷体_GB2312" w:hAnsi="楷体_GB2312" w:eastAsia="楷体_GB2312" w:cs="楷体_GB2312"/>
          <w:color w:val="000000" w:themeColor="text1"/>
          <w:highlight w:val="none"/>
          <w14:textFill>
            <w14:solidFill>
              <w14:schemeClr w14:val="tx1"/>
            </w14:solidFill>
          </w14:textFill>
        </w:rPr>
        <w:t>年</w:t>
      </w:r>
      <w:r>
        <w:rPr>
          <w:rFonts w:hint="eastAsia" w:ascii="楷体_GB2312" w:hAnsi="楷体_GB2312" w:eastAsia="楷体_GB2312" w:cs="楷体_GB2312"/>
          <w:color w:val="000000" w:themeColor="text1"/>
          <w:highlight w:val="none"/>
          <w:lang w:val="en-US" w:eastAsia="zh-CN"/>
          <w14:textFill>
            <w14:solidFill>
              <w14:schemeClr w14:val="tx1"/>
            </w14:solidFill>
          </w14:textFill>
        </w:rPr>
        <w:t>10</w:t>
      </w:r>
      <w:r>
        <w:rPr>
          <w:rFonts w:hint="eastAsia" w:ascii="楷体_GB2312" w:hAnsi="楷体_GB2312" w:eastAsia="楷体_GB2312" w:cs="楷体_GB2312"/>
          <w:color w:val="000000" w:themeColor="text1"/>
          <w:highlight w:val="none"/>
          <w14:textFill>
            <w14:solidFill>
              <w14:schemeClr w14:val="tx1"/>
            </w14:solidFill>
          </w14:textFill>
        </w:rPr>
        <w:t>月</w:t>
      </w:r>
      <w:r>
        <w:rPr>
          <w:rFonts w:hint="eastAsia" w:ascii="楷体_GB2312" w:hAnsi="楷体_GB2312" w:eastAsia="楷体_GB2312" w:cs="楷体_GB2312"/>
          <w:color w:val="000000" w:themeColor="text1"/>
          <w:highlight w:val="none"/>
          <w:lang w:val="en-US" w:eastAsia="zh-CN"/>
          <w14:textFill>
            <w14:solidFill>
              <w14:schemeClr w14:val="tx1"/>
            </w14:solidFill>
          </w14:textFill>
        </w:rPr>
        <w:t>2</w:t>
      </w:r>
      <w:r>
        <w:rPr>
          <w:rFonts w:hint="eastAsia" w:ascii="楷体_GB2312" w:hAnsi="楷体_GB2312" w:eastAsia="楷体_GB2312" w:cs="楷体_GB2312"/>
          <w:color w:val="000000" w:themeColor="text1"/>
          <w:highlight w:val="none"/>
          <w14:textFill>
            <w14:solidFill>
              <w14:schemeClr w14:val="tx1"/>
            </w14:solidFill>
          </w14:textFill>
        </w:rPr>
        <w:t>日</w:t>
      </w:r>
    </w:p>
    <w:p>
      <w:pPr>
        <w:rPr>
          <w:color w:val="000000" w:themeColor="text1"/>
          <w14:textFill>
            <w14:solidFill>
              <w14:schemeClr w14:val="tx1"/>
            </w14:solidFill>
          </w14:textFill>
        </w:rPr>
      </w:pP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576" w:lineRule="exac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 w:val="0"/>
          <w:bCs/>
          <w:color w:val="000000" w:themeColor="text1"/>
          <w:sz w:val="32"/>
          <w:szCs w:val="32"/>
          <w14:textFill>
            <w14:solidFill>
              <w14:schemeClr w14:val="tx1"/>
            </w14:solidFill>
          </w14:textFill>
        </w:rPr>
        <w:instrText xml:space="preserve">TOC \o "1-2" \h \u </w:instrText>
      </w:r>
      <w:r>
        <w:rPr>
          <w:rFonts w:hint="eastAsia" w:ascii="仿宋_GB2312" w:hAnsi="仿宋_GB2312" w:eastAsia="仿宋_GB2312" w:cs="仿宋_GB2312"/>
          <w:b w:val="0"/>
          <w:bCs/>
          <w:color w:val="000000" w:themeColor="text1"/>
          <w:sz w:val="32"/>
          <w:szCs w:val="32"/>
          <w14:textFill>
            <w14:solidFill>
              <w14:schemeClr w14:val="tx1"/>
            </w14:solidFill>
          </w14:textFill>
        </w:rPr>
        <w:fldChar w:fldCharType="separate"/>
      </w:r>
      <w:r>
        <w:rPr>
          <w:rFonts w:hint="eastAsia" w:ascii="黑体" w:hAnsi="黑体" w:eastAsia="黑体" w:cs="黑体"/>
          <w:bCs/>
          <w:color w:val="000000" w:themeColor="text1"/>
          <w:sz w:val="32"/>
          <w:szCs w:val="32"/>
          <w14:textFill>
            <w14:solidFill>
              <w14:schemeClr w14:val="tx1"/>
            </w14:solidFill>
          </w14:textFill>
        </w:rPr>
        <w:fldChar w:fldCharType="begin"/>
      </w:r>
      <w:r>
        <w:rPr>
          <w:rFonts w:hint="eastAsia" w:ascii="黑体" w:hAnsi="黑体" w:eastAsia="黑体" w:cs="黑体"/>
          <w:bCs/>
          <w:color w:val="000000" w:themeColor="text1"/>
          <w:sz w:val="32"/>
          <w:szCs w:val="32"/>
          <w14:textFill>
            <w14:solidFill>
              <w14:schemeClr w14:val="tx1"/>
            </w14:solidFill>
          </w14:textFill>
        </w:rPr>
        <w:instrText xml:space="preserve"> HYPERLINK \l _Toc16759 </w:instrText>
      </w:r>
      <w:r>
        <w:rPr>
          <w:rFonts w:hint="eastAsia" w:ascii="黑体" w:hAnsi="黑体" w:eastAsia="黑体" w:cs="黑体"/>
          <w:bCs/>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 xml:space="preserve">第一部分 </w:t>
      </w:r>
      <w:r>
        <w:rPr>
          <w:rFonts w:hint="eastAsia" w:ascii="黑体" w:hAnsi="黑体" w:eastAsia="黑体" w:cs="黑体"/>
          <w:color w:val="000000" w:themeColor="text1"/>
          <w:sz w:val="32"/>
          <w:szCs w:val="32"/>
          <w:lang w:val="en-US" w:eastAsia="zh-CN"/>
          <w14:textFill>
            <w14:solidFill>
              <w14:schemeClr w14:val="tx1"/>
            </w14:solidFill>
          </w14:textFill>
        </w:rPr>
        <w:t>部门</w:t>
      </w:r>
      <w:r>
        <w:rPr>
          <w:rFonts w:hint="eastAsia" w:ascii="黑体" w:hAnsi="黑体" w:eastAsia="黑体" w:cs="黑体"/>
          <w:color w:val="000000" w:themeColor="text1"/>
          <w:sz w:val="32"/>
          <w:szCs w:val="32"/>
          <w14:textFill>
            <w14:solidFill>
              <w14:schemeClr w14:val="tx1"/>
            </w14:solidFill>
          </w14:textFill>
        </w:rPr>
        <w:t>概况</w:t>
      </w:r>
      <w:r>
        <w:rPr>
          <w:rFonts w:hint="eastAsia" w:ascii="黑体" w:hAnsi="黑体" w:eastAsia="黑体" w:cs="黑体"/>
          <w:color w:val="000000" w:themeColor="text1"/>
          <w:sz w:val="32"/>
          <w:szCs w:val="32"/>
          <w14:textFill>
            <w14:solidFill>
              <w14:schemeClr w14:val="tx1"/>
            </w14:solidFill>
          </w14:textFill>
        </w:rPr>
        <w:tab/>
      </w:r>
      <w:r>
        <w:rPr>
          <w:rFonts w:hint="eastAsia" w:ascii="黑体" w:hAnsi="黑体" w:eastAsia="黑体" w:cs="黑体"/>
          <w:color w:val="000000" w:themeColor="text1"/>
          <w:sz w:val="32"/>
          <w:szCs w:val="32"/>
          <w14:textFill>
            <w14:solidFill>
              <w14:schemeClr w14:val="tx1"/>
            </w14:solidFill>
          </w14:textFill>
        </w:rPr>
        <w:fldChar w:fldCharType="begin"/>
      </w:r>
      <w:r>
        <w:rPr>
          <w:rFonts w:hint="eastAsia" w:ascii="黑体" w:hAnsi="黑体" w:eastAsia="黑体" w:cs="黑体"/>
          <w:color w:val="000000" w:themeColor="text1"/>
          <w:sz w:val="32"/>
          <w:szCs w:val="32"/>
          <w14:textFill>
            <w14:solidFill>
              <w14:schemeClr w14:val="tx1"/>
            </w14:solidFill>
          </w14:textFill>
        </w:rPr>
        <w:instrText xml:space="preserve"> PAGEREF _Toc16759 \h </w:instrText>
      </w:r>
      <w:r>
        <w:rPr>
          <w:rFonts w:hint="eastAsia" w:ascii="黑体" w:hAnsi="黑体" w:eastAsia="黑体" w:cs="黑体"/>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fldChar w:fldCharType="end"/>
      </w:r>
      <w:r>
        <w:rPr>
          <w:rFonts w:hint="eastAsia" w:ascii="黑体" w:hAnsi="黑体" w:eastAsia="黑体" w:cs="黑体"/>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_Toc22925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一、部门职责</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_Toc22925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_Toc8758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lang w:eastAsia="zh-CN"/>
          <w14:textFill>
            <w14:solidFill>
              <w14:schemeClr w14:val="tx1"/>
            </w14:solidFill>
          </w14:textFill>
        </w:rPr>
        <w:t>二、</w:t>
      </w:r>
      <w:r>
        <w:rPr>
          <w:rFonts w:hint="eastAsia" w:ascii="仿宋_GB2312" w:hAnsi="仿宋_GB2312" w:eastAsia="仿宋_GB2312" w:cs="仿宋_GB2312"/>
          <w:color w:val="000000" w:themeColor="text1"/>
          <w:sz w:val="32"/>
          <w:szCs w:val="32"/>
          <w14:textFill>
            <w14:solidFill>
              <w14:schemeClr w14:val="tx1"/>
            </w14:solidFill>
          </w14:textFill>
        </w:rPr>
        <w:t>机</w:t>
      </w:r>
      <w:r>
        <w:rPr>
          <w:rFonts w:hint="eastAsia" w:ascii="仿宋_GB2312" w:hAnsi="仿宋_GB2312" w:eastAsia="仿宋_GB2312" w:cs="仿宋_GB2312"/>
          <w:bCs w:val="0"/>
          <w:color w:val="000000" w:themeColor="text1"/>
          <w:sz w:val="32"/>
          <w:szCs w:val="32"/>
          <w14:textFill>
            <w14:solidFill>
              <w14:schemeClr w14:val="tx1"/>
            </w14:solidFill>
          </w14:textFill>
        </w:rPr>
        <w:t>构设置</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_Toc8758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576" w:lineRule="exac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fldChar w:fldCharType="begin"/>
      </w:r>
      <w:r>
        <w:rPr>
          <w:rFonts w:hint="eastAsia" w:ascii="黑体" w:hAnsi="黑体" w:eastAsia="黑体" w:cs="黑体"/>
          <w:bCs/>
          <w:color w:val="000000" w:themeColor="text1"/>
          <w:sz w:val="32"/>
          <w:szCs w:val="32"/>
          <w14:textFill>
            <w14:solidFill>
              <w14:schemeClr w14:val="tx1"/>
            </w14:solidFill>
          </w14:textFill>
        </w:rPr>
        <w:instrText xml:space="preserve"> HYPERLINK \l _Toc6380 </w:instrText>
      </w:r>
      <w:r>
        <w:rPr>
          <w:rFonts w:hint="eastAsia" w:ascii="黑体" w:hAnsi="黑体" w:eastAsia="黑体" w:cs="黑体"/>
          <w:bCs/>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第二部分 2023年度</w:t>
      </w:r>
      <w:r>
        <w:rPr>
          <w:rFonts w:hint="eastAsia" w:ascii="黑体" w:hAnsi="黑体" w:eastAsia="黑体" w:cs="黑体"/>
          <w:bCs/>
          <w:color w:val="000000" w:themeColor="text1"/>
          <w:sz w:val="32"/>
          <w:szCs w:val="32"/>
          <w14:textFill>
            <w14:solidFill>
              <w14:schemeClr w14:val="tx1"/>
            </w14:solidFill>
          </w14:textFill>
        </w:rPr>
        <w:t>单位决算情况说明</w:t>
      </w:r>
      <w:r>
        <w:rPr>
          <w:rFonts w:hint="eastAsia" w:ascii="黑体" w:hAnsi="黑体" w:eastAsia="黑体" w:cs="黑体"/>
          <w:color w:val="000000" w:themeColor="text1"/>
          <w:sz w:val="32"/>
          <w:szCs w:val="32"/>
          <w14:textFill>
            <w14:solidFill>
              <w14:schemeClr w14:val="tx1"/>
            </w14:solidFill>
          </w14:textFill>
        </w:rPr>
        <w:tab/>
      </w:r>
      <w:r>
        <w:rPr>
          <w:rFonts w:hint="eastAsia" w:ascii="黑体" w:hAnsi="黑体" w:eastAsia="黑体" w:cs="黑体"/>
          <w:color w:val="000000" w:themeColor="text1"/>
          <w:sz w:val="32"/>
          <w:szCs w:val="32"/>
          <w14:textFill>
            <w14:solidFill>
              <w14:schemeClr w14:val="tx1"/>
            </w14:solidFill>
          </w14:textFill>
        </w:rPr>
        <w:fldChar w:fldCharType="begin"/>
      </w:r>
      <w:r>
        <w:rPr>
          <w:rFonts w:hint="eastAsia" w:ascii="黑体" w:hAnsi="黑体" w:eastAsia="黑体" w:cs="黑体"/>
          <w:color w:val="000000" w:themeColor="text1"/>
          <w:sz w:val="32"/>
          <w:szCs w:val="32"/>
          <w14:textFill>
            <w14:solidFill>
              <w14:schemeClr w14:val="tx1"/>
            </w14:solidFill>
          </w14:textFill>
        </w:rPr>
        <w:instrText xml:space="preserve"> PAGEREF _Toc6380 \h </w:instrText>
      </w:r>
      <w:r>
        <w:rPr>
          <w:rFonts w:hint="eastAsia" w:ascii="黑体" w:hAnsi="黑体" w:eastAsia="黑体" w:cs="黑体"/>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2</w:t>
      </w:r>
      <w:r>
        <w:rPr>
          <w:rFonts w:hint="eastAsia" w:ascii="黑体" w:hAnsi="黑体" w:eastAsia="黑体" w:cs="黑体"/>
          <w:color w:val="000000" w:themeColor="text1"/>
          <w:sz w:val="32"/>
          <w:szCs w:val="32"/>
          <w14:textFill>
            <w14:solidFill>
              <w14:schemeClr w14:val="tx1"/>
            </w14:solidFill>
          </w14:textFill>
        </w:rPr>
        <w:fldChar w:fldCharType="end"/>
      </w:r>
      <w:r>
        <w:rPr>
          <w:rFonts w:hint="eastAsia" w:ascii="黑体" w:hAnsi="黑体" w:eastAsia="黑体" w:cs="黑体"/>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_Toc30822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一、收入支出决算总体情况说明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_Toc30822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_Toc11800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二、收入决算情况说明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_Toc11800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_Toc29652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三、支出决算情况说明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_Toc29652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_Toc1177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四、财政拨款收入支出决算总体情况说明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_Toc1177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_Toc10515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五、一般公共预算财政拨款支出决算情况说明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_Toc10515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_Toc312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六、一般公共预算财政拨款基本支出决算情况说明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_Toc312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_Toc2623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七、财政拨款“三公”经费支出决算情况说明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_Toc2623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_Toc21554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八、政府性基金预算支出决算情况说明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_Toc21554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_Toc15086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九、国有资本经营预算支出决算情况说明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_Toc15086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_Toc7660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十、其他重要事项的情况说明</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_Toc7660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576" w:lineRule="exac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fldChar w:fldCharType="begin"/>
      </w:r>
      <w:r>
        <w:rPr>
          <w:rFonts w:hint="eastAsia" w:ascii="黑体" w:hAnsi="黑体" w:eastAsia="黑体" w:cs="黑体"/>
          <w:bCs/>
          <w:color w:val="000000" w:themeColor="text1"/>
          <w:sz w:val="32"/>
          <w:szCs w:val="32"/>
          <w14:textFill>
            <w14:solidFill>
              <w14:schemeClr w14:val="tx1"/>
            </w14:solidFill>
          </w14:textFill>
        </w:rPr>
        <w:instrText xml:space="preserve"> HYPERLINK \l _Toc16523 </w:instrText>
      </w:r>
      <w:r>
        <w:rPr>
          <w:rFonts w:hint="eastAsia" w:ascii="黑体" w:hAnsi="黑体" w:eastAsia="黑体" w:cs="黑体"/>
          <w:bCs/>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第三部分 名词解释</w:t>
      </w:r>
      <w:r>
        <w:rPr>
          <w:rFonts w:hint="eastAsia" w:ascii="黑体" w:hAnsi="黑体" w:eastAsia="黑体" w:cs="黑体"/>
          <w:color w:val="000000" w:themeColor="text1"/>
          <w:sz w:val="32"/>
          <w:szCs w:val="32"/>
          <w14:textFill>
            <w14:solidFill>
              <w14:schemeClr w14:val="tx1"/>
            </w14:solidFill>
          </w14:textFill>
        </w:rPr>
        <w:tab/>
      </w:r>
      <w:r>
        <w:rPr>
          <w:rFonts w:hint="eastAsia" w:ascii="黑体" w:hAnsi="黑体" w:eastAsia="黑体" w:cs="黑体"/>
          <w:color w:val="000000" w:themeColor="text1"/>
          <w:sz w:val="32"/>
          <w:szCs w:val="32"/>
          <w14:textFill>
            <w14:solidFill>
              <w14:schemeClr w14:val="tx1"/>
            </w14:solidFill>
          </w14:textFill>
        </w:rPr>
        <w:fldChar w:fldCharType="begin"/>
      </w:r>
      <w:r>
        <w:rPr>
          <w:rFonts w:hint="eastAsia" w:ascii="黑体" w:hAnsi="黑体" w:eastAsia="黑体" w:cs="黑体"/>
          <w:color w:val="000000" w:themeColor="text1"/>
          <w:sz w:val="32"/>
          <w:szCs w:val="32"/>
          <w14:textFill>
            <w14:solidFill>
              <w14:schemeClr w14:val="tx1"/>
            </w14:solidFill>
          </w14:textFill>
        </w:rPr>
        <w:instrText xml:space="preserve"> PAGEREF _Toc16523 \h </w:instrText>
      </w:r>
      <w:r>
        <w:rPr>
          <w:rFonts w:hint="eastAsia" w:ascii="黑体" w:hAnsi="黑体" w:eastAsia="黑体" w:cs="黑体"/>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12</w:t>
      </w:r>
      <w:r>
        <w:rPr>
          <w:rFonts w:hint="eastAsia" w:ascii="黑体" w:hAnsi="黑体" w:eastAsia="黑体" w:cs="黑体"/>
          <w:color w:val="000000" w:themeColor="text1"/>
          <w:sz w:val="32"/>
          <w:szCs w:val="32"/>
          <w14:textFill>
            <w14:solidFill>
              <w14:schemeClr w14:val="tx1"/>
            </w14:solidFill>
          </w14:textFill>
        </w:rPr>
        <w:fldChar w:fldCharType="end"/>
      </w:r>
      <w:r>
        <w:rPr>
          <w:rFonts w:hint="eastAsia" w:ascii="黑体" w:hAnsi="黑体" w:eastAsia="黑体" w:cs="黑体"/>
          <w:bCs/>
          <w:color w:val="000000" w:themeColor="text1"/>
          <w:sz w:val="32"/>
          <w:szCs w:val="32"/>
          <w14:textFill>
            <w14:solidFill>
              <w14:schemeClr w14:val="tx1"/>
            </w14:solidFill>
          </w14:textFill>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576" w:lineRule="exac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fldChar w:fldCharType="begin"/>
      </w:r>
      <w:r>
        <w:rPr>
          <w:rFonts w:hint="eastAsia" w:ascii="黑体" w:hAnsi="黑体" w:eastAsia="黑体" w:cs="黑体"/>
          <w:bCs/>
          <w:color w:val="000000" w:themeColor="text1"/>
          <w:sz w:val="32"/>
          <w:szCs w:val="32"/>
          <w14:textFill>
            <w14:solidFill>
              <w14:schemeClr w14:val="tx1"/>
            </w14:solidFill>
          </w14:textFill>
        </w:rPr>
        <w:instrText xml:space="preserve"> HYPERLINK \l _Toc598 </w:instrText>
      </w:r>
      <w:r>
        <w:rPr>
          <w:rFonts w:hint="eastAsia" w:ascii="黑体" w:hAnsi="黑体" w:eastAsia="黑体" w:cs="黑体"/>
          <w:bCs/>
          <w:color w:val="000000" w:themeColor="text1"/>
          <w:sz w:val="32"/>
          <w:szCs w:val="32"/>
          <w14:textFill>
            <w14:solidFill>
              <w14:schemeClr w14:val="tx1"/>
            </w14:solidFill>
          </w14:textFill>
        </w:rPr>
        <w:fldChar w:fldCharType="separate"/>
      </w:r>
      <w:r>
        <w:rPr>
          <w:rFonts w:hint="eastAsia" w:ascii="黑体" w:hAnsi="黑体" w:eastAsia="黑体" w:cs="黑体"/>
          <w:bCs/>
          <w:color w:val="000000" w:themeColor="text1"/>
          <w:sz w:val="32"/>
          <w:szCs w:val="32"/>
          <w:highlight w:val="none"/>
          <w:shd w:val="clear" w:color="auto" w:fill="FFFFFF"/>
          <w:lang w:eastAsia="zh-CN"/>
          <w14:textFill>
            <w14:solidFill>
              <w14:schemeClr w14:val="tx1"/>
            </w14:solidFill>
          </w14:textFill>
        </w:rPr>
        <w:t>第四部分 附件</w:t>
      </w:r>
      <w:r>
        <w:rPr>
          <w:rFonts w:hint="eastAsia" w:ascii="黑体" w:hAnsi="黑体" w:eastAsia="黑体" w:cs="黑体"/>
          <w:color w:val="000000" w:themeColor="text1"/>
          <w:sz w:val="32"/>
          <w:szCs w:val="32"/>
          <w14:textFill>
            <w14:solidFill>
              <w14:schemeClr w14:val="tx1"/>
            </w14:solidFill>
          </w14:textFill>
        </w:rPr>
        <w:tab/>
      </w:r>
      <w:r>
        <w:rPr>
          <w:rFonts w:hint="eastAsia" w:ascii="黑体" w:hAnsi="黑体" w:eastAsia="黑体" w:cs="黑体"/>
          <w:color w:val="000000" w:themeColor="text1"/>
          <w:sz w:val="32"/>
          <w:szCs w:val="32"/>
          <w14:textFill>
            <w14:solidFill>
              <w14:schemeClr w14:val="tx1"/>
            </w14:solidFill>
          </w14:textFill>
        </w:rPr>
        <w:fldChar w:fldCharType="begin"/>
      </w:r>
      <w:r>
        <w:rPr>
          <w:rFonts w:hint="eastAsia" w:ascii="黑体" w:hAnsi="黑体" w:eastAsia="黑体" w:cs="黑体"/>
          <w:color w:val="000000" w:themeColor="text1"/>
          <w:sz w:val="32"/>
          <w:szCs w:val="32"/>
          <w14:textFill>
            <w14:solidFill>
              <w14:schemeClr w14:val="tx1"/>
            </w14:solidFill>
          </w14:textFill>
        </w:rPr>
        <w:instrText xml:space="preserve"> PAGEREF _Toc598 \h </w:instrText>
      </w:r>
      <w:r>
        <w:rPr>
          <w:rFonts w:hint="eastAsia" w:ascii="黑体" w:hAnsi="黑体" w:eastAsia="黑体" w:cs="黑体"/>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14</w:t>
      </w:r>
      <w:r>
        <w:rPr>
          <w:rFonts w:hint="eastAsia" w:ascii="黑体" w:hAnsi="黑体" w:eastAsia="黑体" w:cs="黑体"/>
          <w:color w:val="000000" w:themeColor="text1"/>
          <w:sz w:val="32"/>
          <w:szCs w:val="32"/>
          <w14:textFill>
            <w14:solidFill>
              <w14:schemeClr w14:val="tx1"/>
            </w14:solidFill>
          </w14:textFill>
        </w:rPr>
        <w:fldChar w:fldCharType="end"/>
      </w:r>
      <w:r>
        <w:rPr>
          <w:rFonts w:hint="eastAsia" w:ascii="黑体" w:hAnsi="黑体" w:eastAsia="黑体" w:cs="黑体"/>
          <w:bCs/>
          <w:color w:val="000000" w:themeColor="text1"/>
          <w:sz w:val="32"/>
          <w:szCs w:val="32"/>
          <w14:textFill>
            <w14:solidFill>
              <w14:schemeClr w14:val="tx1"/>
            </w14:solidFill>
          </w14:textFill>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576" w:lineRule="exac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fldChar w:fldCharType="begin"/>
      </w:r>
      <w:r>
        <w:rPr>
          <w:rFonts w:hint="eastAsia" w:ascii="黑体" w:hAnsi="黑体" w:eastAsia="黑体" w:cs="黑体"/>
          <w:bCs/>
          <w:color w:val="000000" w:themeColor="text1"/>
          <w:sz w:val="32"/>
          <w:szCs w:val="32"/>
          <w14:textFill>
            <w14:solidFill>
              <w14:schemeClr w14:val="tx1"/>
            </w14:solidFill>
          </w14:textFill>
        </w:rPr>
        <w:instrText xml:space="preserve"> HYPERLINK \l _Toc26722 </w:instrText>
      </w:r>
      <w:r>
        <w:rPr>
          <w:rFonts w:hint="eastAsia" w:ascii="黑体" w:hAnsi="黑体" w:eastAsia="黑体" w:cs="黑体"/>
          <w:bCs/>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第五部分 附表</w:t>
      </w:r>
      <w:r>
        <w:rPr>
          <w:rFonts w:hint="eastAsia" w:ascii="黑体" w:hAnsi="黑体" w:eastAsia="黑体" w:cs="黑体"/>
          <w:color w:val="000000" w:themeColor="text1"/>
          <w:sz w:val="32"/>
          <w:szCs w:val="32"/>
          <w14:textFill>
            <w14:solidFill>
              <w14:schemeClr w14:val="tx1"/>
            </w14:solidFill>
          </w14:textFill>
        </w:rPr>
        <w:tab/>
      </w:r>
      <w:r>
        <w:rPr>
          <w:rFonts w:hint="eastAsia" w:ascii="黑体" w:hAnsi="黑体" w:eastAsia="黑体" w:cs="黑体"/>
          <w:color w:val="000000" w:themeColor="text1"/>
          <w:sz w:val="32"/>
          <w:szCs w:val="32"/>
          <w14:textFill>
            <w14:solidFill>
              <w14:schemeClr w14:val="tx1"/>
            </w14:solidFill>
          </w14:textFill>
        </w:rPr>
        <w:fldChar w:fldCharType="begin"/>
      </w:r>
      <w:r>
        <w:rPr>
          <w:rFonts w:hint="eastAsia" w:ascii="黑体" w:hAnsi="黑体" w:eastAsia="黑体" w:cs="黑体"/>
          <w:color w:val="000000" w:themeColor="text1"/>
          <w:sz w:val="32"/>
          <w:szCs w:val="32"/>
          <w14:textFill>
            <w14:solidFill>
              <w14:schemeClr w14:val="tx1"/>
            </w14:solidFill>
          </w14:textFill>
        </w:rPr>
        <w:instrText xml:space="preserve"> PAGEREF _Toc26722 \h </w:instrText>
      </w:r>
      <w:r>
        <w:rPr>
          <w:rFonts w:hint="eastAsia" w:ascii="黑体" w:hAnsi="黑体" w:eastAsia="黑体" w:cs="黑体"/>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60</w:t>
      </w:r>
      <w:r>
        <w:rPr>
          <w:rFonts w:hint="eastAsia" w:ascii="黑体" w:hAnsi="黑体" w:eastAsia="黑体" w:cs="黑体"/>
          <w:color w:val="000000" w:themeColor="text1"/>
          <w:sz w:val="32"/>
          <w:szCs w:val="32"/>
          <w14:textFill>
            <w14:solidFill>
              <w14:schemeClr w14:val="tx1"/>
            </w14:solidFill>
          </w14:textFill>
        </w:rPr>
        <w:fldChar w:fldCharType="end"/>
      </w:r>
      <w:r>
        <w:rPr>
          <w:rFonts w:hint="eastAsia" w:ascii="黑体" w:hAnsi="黑体" w:eastAsia="黑体" w:cs="黑体"/>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_Toc27455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一、收</w:t>
      </w:r>
      <w:r>
        <w:rPr>
          <w:rFonts w:hint="eastAsia" w:ascii="仿宋_GB2312" w:hAnsi="仿宋_GB2312" w:eastAsia="仿宋_GB2312" w:cs="仿宋_GB2312"/>
          <w:bCs w:val="0"/>
          <w:color w:val="000000" w:themeColor="text1"/>
          <w:sz w:val="32"/>
          <w:szCs w:val="32"/>
          <w14:textFill>
            <w14:solidFill>
              <w14:schemeClr w14:val="tx1"/>
            </w14:solidFill>
          </w14:textFill>
        </w:rPr>
        <w:t>入支出决算总表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_Toc27455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_Toc20026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二、收</w:t>
      </w:r>
      <w:r>
        <w:rPr>
          <w:rFonts w:hint="eastAsia" w:ascii="仿宋_GB2312" w:hAnsi="仿宋_GB2312" w:eastAsia="仿宋_GB2312" w:cs="仿宋_GB2312"/>
          <w:bCs w:val="0"/>
          <w:color w:val="000000" w:themeColor="text1"/>
          <w:sz w:val="32"/>
          <w:szCs w:val="32"/>
          <w14:textFill>
            <w14:solidFill>
              <w14:schemeClr w14:val="tx1"/>
            </w14:solidFill>
          </w14:textFill>
        </w:rPr>
        <w:t>入决算表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_Toc20026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_Toc21574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三、</w:t>
      </w:r>
      <w:r>
        <w:rPr>
          <w:rFonts w:hint="eastAsia" w:ascii="仿宋_GB2312" w:hAnsi="仿宋_GB2312" w:eastAsia="仿宋_GB2312" w:cs="仿宋_GB2312"/>
          <w:color w:val="000000" w:themeColor="text1"/>
          <w:sz w:val="32"/>
          <w:szCs w:val="32"/>
          <w14:textFill>
            <w14:solidFill>
              <w14:schemeClr w14:val="tx1"/>
            </w14:solidFill>
          </w14:textFill>
        </w:rPr>
        <w:t>支</w:t>
      </w:r>
      <w:r>
        <w:rPr>
          <w:rFonts w:hint="eastAsia" w:ascii="仿宋_GB2312" w:hAnsi="仿宋_GB2312" w:eastAsia="仿宋_GB2312" w:cs="仿宋_GB2312"/>
          <w:bCs w:val="0"/>
          <w:color w:val="000000" w:themeColor="text1"/>
          <w:sz w:val="32"/>
          <w:szCs w:val="32"/>
          <w14:textFill>
            <w14:solidFill>
              <w14:schemeClr w14:val="tx1"/>
            </w14:solidFill>
          </w14:textFill>
        </w:rPr>
        <w:t>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_Toc21574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_Toc8216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四、</w:t>
      </w:r>
      <w:r>
        <w:rPr>
          <w:rFonts w:hint="eastAsia" w:ascii="仿宋_GB2312" w:hAnsi="仿宋_GB2312" w:eastAsia="仿宋_GB2312" w:cs="仿宋_GB2312"/>
          <w:color w:val="000000" w:themeColor="text1"/>
          <w:sz w:val="32"/>
          <w:szCs w:val="32"/>
          <w14:textFill>
            <w14:solidFill>
              <w14:schemeClr w14:val="tx1"/>
            </w14:solidFill>
          </w14:textFill>
        </w:rPr>
        <w:t>财</w:t>
      </w:r>
      <w:r>
        <w:rPr>
          <w:rFonts w:hint="eastAsia" w:ascii="仿宋_GB2312" w:hAnsi="仿宋_GB2312" w:eastAsia="仿宋_GB2312" w:cs="仿宋_GB2312"/>
          <w:bCs w:val="0"/>
          <w:color w:val="000000" w:themeColor="text1"/>
          <w:sz w:val="32"/>
          <w:szCs w:val="32"/>
          <w14:textFill>
            <w14:solidFill>
              <w14:schemeClr w14:val="tx1"/>
            </w14:solidFill>
          </w14:textFill>
        </w:rPr>
        <w:t>政拨款收入支出决算总表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_Toc8216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_Toc8688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五、</w:t>
      </w:r>
      <w:r>
        <w:rPr>
          <w:rFonts w:hint="eastAsia" w:ascii="仿宋_GB2312" w:hAnsi="仿宋_GB2312" w:eastAsia="仿宋_GB2312" w:cs="仿宋_GB2312"/>
          <w:color w:val="000000" w:themeColor="text1"/>
          <w:sz w:val="32"/>
          <w:szCs w:val="32"/>
          <w14:textFill>
            <w14:solidFill>
              <w14:schemeClr w14:val="tx1"/>
            </w14:solidFill>
          </w14:textFill>
        </w:rPr>
        <w:t>财</w:t>
      </w:r>
      <w:r>
        <w:rPr>
          <w:rFonts w:hint="eastAsia" w:ascii="仿宋_GB2312" w:hAnsi="仿宋_GB2312" w:eastAsia="仿宋_GB2312" w:cs="仿宋_GB2312"/>
          <w:bCs w:val="0"/>
          <w:color w:val="000000" w:themeColor="text1"/>
          <w:sz w:val="32"/>
          <w:szCs w:val="32"/>
          <w14:textFill>
            <w14:solidFill>
              <w14:schemeClr w14:val="tx1"/>
            </w14:solidFill>
          </w14:textFill>
        </w:rPr>
        <w:t>政拨款支出决算明细表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_Toc8688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_Toc12014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六、</w:t>
      </w:r>
      <w:r>
        <w:rPr>
          <w:rFonts w:hint="eastAsia" w:ascii="仿宋_GB2312" w:hAnsi="仿宋_GB2312" w:eastAsia="仿宋_GB2312" w:cs="仿宋_GB2312"/>
          <w:color w:val="000000" w:themeColor="text1"/>
          <w:sz w:val="32"/>
          <w:szCs w:val="32"/>
          <w14:textFill>
            <w14:solidFill>
              <w14:schemeClr w14:val="tx1"/>
            </w14:solidFill>
          </w14:textFill>
        </w:rPr>
        <w:t>一</w:t>
      </w:r>
      <w:r>
        <w:rPr>
          <w:rFonts w:hint="eastAsia" w:ascii="仿宋_GB2312" w:hAnsi="仿宋_GB2312" w:eastAsia="仿宋_GB2312" w:cs="仿宋_GB2312"/>
          <w:bCs w:val="0"/>
          <w:color w:val="000000" w:themeColor="text1"/>
          <w:sz w:val="32"/>
          <w:szCs w:val="32"/>
          <w14:textFill>
            <w14:solidFill>
              <w14:schemeClr w14:val="tx1"/>
            </w14:solidFill>
          </w14:textFill>
        </w:rPr>
        <w:t>般公共预算财政拨款支出决算表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_Toc12014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_Toc18705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七、</w:t>
      </w:r>
      <w:r>
        <w:rPr>
          <w:rFonts w:hint="eastAsia" w:ascii="仿宋_GB2312" w:hAnsi="仿宋_GB2312" w:eastAsia="仿宋_GB2312" w:cs="仿宋_GB2312"/>
          <w:color w:val="000000" w:themeColor="text1"/>
          <w:sz w:val="32"/>
          <w:szCs w:val="32"/>
          <w14:textFill>
            <w14:solidFill>
              <w14:schemeClr w14:val="tx1"/>
            </w14:solidFill>
          </w14:textFill>
        </w:rPr>
        <w:t>一</w:t>
      </w:r>
      <w:r>
        <w:rPr>
          <w:rFonts w:hint="eastAsia" w:ascii="仿宋_GB2312" w:hAnsi="仿宋_GB2312" w:eastAsia="仿宋_GB2312" w:cs="仿宋_GB2312"/>
          <w:bCs w:val="0"/>
          <w:color w:val="000000" w:themeColor="text1"/>
          <w:sz w:val="32"/>
          <w:szCs w:val="32"/>
          <w14:textFill>
            <w14:solidFill>
              <w14:schemeClr w14:val="tx1"/>
            </w14:solidFill>
          </w14:textFill>
        </w:rPr>
        <w:t>般公共预算财政拨款支出决算明细表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_Toc18705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_Toc3393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八、</w:t>
      </w:r>
      <w:r>
        <w:rPr>
          <w:rFonts w:hint="eastAsia" w:ascii="仿宋_GB2312" w:hAnsi="仿宋_GB2312" w:eastAsia="仿宋_GB2312" w:cs="仿宋_GB2312"/>
          <w:color w:val="000000" w:themeColor="text1"/>
          <w:sz w:val="32"/>
          <w:szCs w:val="32"/>
          <w14:textFill>
            <w14:solidFill>
              <w14:schemeClr w14:val="tx1"/>
            </w14:solidFill>
          </w14:textFill>
        </w:rPr>
        <w:t>一</w:t>
      </w:r>
      <w:r>
        <w:rPr>
          <w:rFonts w:hint="eastAsia" w:ascii="仿宋_GB2312" w:hAnsi="仿宋_GB2312" w:eastAsia="仿宋_GB2312" w:cs="仿宋_GB2312"/>
          <w:bCs w:val="0"/>
          <w:color w:val="000000" w:themeColor="text1"/>
          <w:sz w:val="32"/>
          <w:szCs w:val="32"/>
          <w14:textFill>
            <w14:solidFill>
              <w14:schemeClr w14:val="tx1"/>
            </w14:solidFill>
          </w14:textFill>
        </w:rPr>
        <w:t>般公共预算财政拨款基本支出决算表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_Toc3393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_Toc18197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九、</w:t>
      </w:r>
      <w:r>
        <w:rPr>
          <w:rFonts w:hint="eastAsia" w:ascii="仿宋_GB2312" w:hAnsi="仿宋_GB2312" w:eastAsia="仿宋_GB2312" w:cs="仿宋_GB2312"/>
          <w:color w:val="000000" w:themeColor="text1"/>
          <w:sz w:val="32"/>
          <w:szCs w:val="32"/>
          <w14:textFill>
            <w14:solidFill>
              <w14:schemeClr w14:val="tx1"/>
            </w14:solidFill>
          </w14:textFill>
        </w:rPr>
        <w:t>一</w:t>
      </w:r>
      <w:r>
        <w:rPr>
          <w:rFonts w:hint="eastAsia" w:ascii="仿宋_GB2312" w:hAnsi="仿宋_GB2312" w:eastAsia="仿宋_GB2312" w:cs="仿宋_GB2312"/>
          <w:bCs w:val="0"/>
          <w:color w:val="000000" w:themeColor="text1"/>
          <w:sz w:val="32"/>
          <w:szCs w:val="32"/>
          <w14:textFill>
            <w14:solidFill>
              <w14:schemeClr w14:val="tx1"/>
            </w14:solidFill>
          </w14:textFill>
        </w:rPr>
        <w:t>般公共预算财政拨款项目支出决算表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_Toc18197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_Toc3042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十、</w:t>
      </w:r>
      <w:r>
        <w:rPr>
          <w:rFonts w:hint="eastAsia" w:ascii="仿宋_GB2312" w:hAnsi="仿宋_GB2312" w:eastAsia="仿宋_GB2312" w:cs="仿宋_GB2312"/>
          <w:color w:val="000000" w:themeColor="text1"/>
          <w:sz w:val="32"/>
          <w:szCs w:val="32"/>
          <w14:textFill>
            <w14:solidFill>
              <w14:schemeClr w14:val="tx1"/>
            </w14:solidFill>
          </w14:textFill>
        </w:rPr>
        <w:t>政</w:t>
      </w:r>
      <w:r>
        <w:rPr>
          <w:rFonts w:hint="eastAsia" w:ascii="仿宋_GB2312" w:hAnsi="仿宋_GB2312" w:eastAsia="仿宋_GB2312" w:cs="仿宋_GB2312"/>
          <w:bCs w:val="0"/>
          <w:color w:val="000000" w:themeColor="text1"/>
          <w:sz w:val="32"/>
          <w:szCs w:val="32"/>
          <w14:textFill>
            <w14:solidFill>
              <w14:schemeClr w14:val="tx1"/>
            </w14:solidFill>
          </w14:textFill>
        </w:rPr>
        <w:t>府性基金预算财政拨款收入支出决算表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_Toc3042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_Toc5714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十一、</w:t>
      </w:r>
      <w:r>
        <w:rPr>
          <w:rFonts w:hint="eastAsia" w:ascii="仿宋_GB2312" w:hAnsi="仿宋_GB2312" w:eastAsia="仿宋_GB2312" w:cs="仿宋_GB2312"/>
          <w:color w:val="000000" w:themeColor="text1"/>
          <w:sz w:val="32"/>
          <w:szCs w:val="32"/>
          <w14:textFill>
            <w14:solidFill>
              <w14:schemeClr w14:val="tx1"/>
            </w14:solidFill>
          </w14:textFill>
        </w:rPr>
        <w:t>国</w:t>
      </w:r>
      <w:r>
        <w:rPr>
          <w:rFonts w:hint="eastAsia" w:ascii="仿宋_GB2312" w:hAnsi="仿宋_GB2312" w:eastAsia="仿宋_GB2312" w:cs="仿宋_GB2312"/>
          <w:bCs w:val="0"/>
          <w:color w:val="000000" w:themeColor="text1"/>
          <w:sz w:val="32"/>
          <w:szCs w:val="32"/>
          <w14:textFill>
            <w14:solidFill>
              <w14:schemeClr w14:val="tx1"/>
            </w14:solidFill>
          </w14:textFill>
        </w:rPr>
        <w:t>有资本经营预算财政拨款收入支出决算表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_Toc5714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_Toc7530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十二、国有资本经营预算财政拨款支出决算表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_Toc7530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Cs/>
          <w:color w:val="000000" w:themeColor="text1"/>
          <w:sz w:val="32"/>
          <w:szCs w:val="32"/>
          <w14:textFill>
            <w14:solidFill>
              <w14:schemeClr w14:val="tx1"/>
            </w14:solidFill>
          </w14:textFill>
        </w:rPr>
        <w:instrText xml:space="preserve"> HYPERLINK \l _Toc16918 </w:instrText>
      </w:r>
      <w:r>
        <w:rPr>
          <w:rFonts w:hint="eastAsia"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val="0"/>
          <w:color w:val="000000" w:themeColor="text1"/>
          <w:sz w:val="32"/>
          <w:szCs w:val="32"/>
          <w14:textFill>
            <w14:solidFill>
              <w14:schemeClr w14:val="tx1"/>
            </w14:solidFill>
          </w14:textFill>
        </w:rPr>
        <w:t>十三、财政拨款“三公”经费支出决算表</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PAGEREF _Toc16918 \h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fldChar w:fldCharType="end"/>
      </w:r>
    </w:p>
    <w:p>
      <w:pPr>
        <w:pStyle w:val="2"/>
        <w:ind w:right="440"/>
        <w:jc w:val="center"/>
        <w:rPr>
          <w:rFonts w:hint="eastAsia" w:ascii="黑体" w:hAnsi="黑体" w:eastAsia="黑体"/>
          <w:b w:val="0"/>
          <w:color w:val="000000" w:themeColor="text1"/>
          <w:sz w:val="44"/>
          <w:szCs w:val="44"/>
          <w14:textFill>
            <w14:solidFill>
              <w14:schemeClr w14:val="tx1"/>
            </w14:solidFill>
          </w14:textFill>
        </w:rPr>
        <w:sectPr>
          <w:footerReference r:id="rId6" w:type="default"/>
          <w:pgSz w:w="11906" w:h="16838"/>
          <w:pgMar w:top="2098" w:right="1474" w:bottom="1984" w:left="1587" w:header="851" w:footer="1531" w:gutter="0"/>
          <w:pgNumType w:fmt="decimal"/>
          <w:cols w:space="0" w:num="1"/>
          <w:rtlGutter w:val="0"/>
          <w:docGrid w:type="lines" w:linePitch="435" w:charSpace="0"/>
        </w:sectPr>
      </w:pPr>
      <w:bookmarkStart w:id="15" w:name="_Toc16759"/>
      <w:bookmarkStart w:id="16" w:name="_Toc15377196"/>
      <w:bookmarkStart w:id="17" w:name="_Toc15396599"/>
    </w:p>
    <w:p>
      <w:pPr>
        <w:pStyle w:val="2"/>
        <w:ind w:right="440"/>
        <w:jc w:val="center"/>
        <w:rPr>
          <w:rFonts w:hint="eastAsia" w:ascii="黑体" w:hAnsi="黑体" w:eastAsia="黑体"/>
          <w:b w:val="0"/>
          <w:color w:val="000000" w:themeColor="text1"/>
          <w:sz w:val="44"/>
          <w:szCs w:val="44"/>
          <w14:textFill>
            <w14:solidFill>
              <w14:schemeClr w14:val="tx1"/>
            </w14:solidFill>
          </w14:textFill>
        </w:rPr>
      </w:pPr>
      <w:r>
        <w:rPr>
          <w:rFonts w:hint="eastAsia" w:ascii="黑体" w:hAnsi="黑体" w:eastAsia="黑体"/>
          <w:b w:val="0"/>
          <w:color w:val="000000" w:themeColor="text1"/>
          <w:sz w:val="44"/>
          <w:szCs w:val="44"/>
          <w14:textFill>
            <w14:solidFill>
              <w14:schemeClr w14:val="tx1"/>
            </w14:solidFill>
          </w14:textFill>
        </w:rPr>
        <w:t xml:space="preserve">第一部分 </w:t>
      </w:r>
      <w:r>
        <w:rPr>
          <w:rFonts w:hint="eastAsia" w:ascii="黑体" w:hAnsi="黑体" w:eastAsia="黑体"/>
          <w:b w:val="0"/>
          <w:color w:val="000000" w:themeColor="text1"/>
          <w:sz w:val="44"/>
          <w:szCs w:val="44"/>
          <w:lang w:val="en-US" w:eastAsia="zh-CN"/>
          <w14:textFill>
            <w14:solidFill>
              <w14:schemeClr w14:val="tx1"/>
            </w14:solidFill>
          </w14:textFill>
        </w:rPr>
        <w:t>部门</w:t>
      </w:r>
      <w:r>
        <w:rPr>
          <w:rFonts w:hint="eastAsia" w:ascii="黑体" w:hAnsi="黑体" w:eastAsia="黑体"/>
          <w:b w:val="0"/>
          <w:color w:val="000000" w:themeColor="text1"/>
          <w:sz w:val="44"/>
          <w:szCs w:val="44"/>
          <w14:textFill>
            <w14:solidFill>
              <w14:schemeClr w14:val="tx1"/>
            </w14:solidFill>
          </w14:textFill>
        </w:rPr>
        <w:t>概况</w:t>
      </w:r>
      <w:bookmarkEnd w:id="15"/>
      <w:bookmarkEnd w:id="16"/>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ascii="黑体" w:hAnsi="黑体" w:eastAsia="黑体"/>
          <w:color w:val="000000" w:themeColor="text1"/>
          <w:sz w:val="32"/>
          <w:szCs w:val="32"/>
          <w14:textFill>
            <w14:solidFill>
              <w14:schemeClr w14:val="tx1"/>
            </w14:solidFill>
          </w14:textFill>
        </w:rPr>
      </w:pPr>
      <w:bookmarkStart w:id="18" w:name="_Toc15396600"/>
      <w:bookmarkStart w:id="19" w:name="_Toc15377197"/>
      <w:bookmarkStart w:id="20" w:name="_Toc22925"/>
      <w:bookmarkStart w:id="21" w:name="_Toc15377200"/>
      <w:bookmarkStart w:id="22" w:name="_Toc15396601"/>
      <w:r>
        <w:rPr>
          <w:rFonts w:hint="eastAsia" w:ascii="黑体" w:hAnsi="黑体" w:eastAsia="黑体"/>
          <w:color w:val="000000" w:themeColor="text1"/>
          <w:sz w:val="32"/>
          <w:szCs w:val="32"/>
          <w14:textFill>
            <w14:solidFill>
              <w14:schemeClr w14:val="tx1"/>
            </w14:solidFill>
          </w14:textFill>
        </w:rPr>
        <w:t>一、</w:t>
      </w:r>
      <w:bookmarkEnd w:id="18"/>
      <w:bookmarkEnd w:id="19"/>
      <w:r>
        <w:rPr>
          <w:rFonts w:hint="eastAsia" w:ascii="黑体" w:hAnsi="黑体" w:eastAsia="黑体"/>
          <w:color w:val="000000" w:themeColor="text1"/>
          <w:sz w:val="32"/>
          <w:szCs w:val="32"/>
          <w14:textFill>
            <w14:solidFill>
              <w14:schemeClr w14:val="tx1"/>
            </w14:solidFill>
          </w14:textFill>
        </w:rPr>
        <w:t>部门职责</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5"/>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广元市以工代赈事务中心是广元市人民政府直属公益一类事业单位（参公管理）。主要职能是：</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负责全市以工代赈和易地扶贫搬迁实施意见、管理办法及易地扶贫搬迁后续发展等政策研究的相关事务工作；承担全市以工代赈和易地扶贫搬迁中长</w:t>
      </w:r>
      <w:r>
        <w:rPr>
          <w:rFonts w:hint="eastAsia" w:ascii="仿宋_GB2312" w:hAnsi="仿宋_GB2312" w:eastAsia="仿宋_GB2312" w:cs="仿宋_GB2312"/>
          <w:color w:val="000000" w:themeColor="text1"/>
          <w:sz w:val="32"/>
          <w:szCs w:val="32"/>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9924415</wp:posOffset>
                </wp:positionV>
                <wp:extent cx="5831840" cy="635"/>
                <wp:effectExtent l="0" t="28575" r="16510" b="46990"/>
                <wp:wrapNone/>
                <wp:docPr id="6" name="直接连接符 6"/>
                <wp:cNvGraphicFramePr/>
                <a:graphic xmlns:a="http://schemas.openxmlformats.org/drawingml/2006/main">
                  <a:graphicData uri="http://schemas.microsoft.com/office/word/2010/wordprocessingShape">
                    <wps:wsp>
                      <wps:cNvCnPr/>
                      <wps:spPr>
                        <a:xfrm>
                          <a:off x="0" y="0"/>
                          <a:ext cx="5831840" cy="635"/>
                        </a:xfrm>
                        <a:prstGeom prst="line">
                          <a:avLst/>
                        </a:prstGeom>
                        <a:ln w="57150" cap="flat" cmpd="thinThick">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top:781.45pt;height:0.05pt;width:459.2pt;mso-position-horizontal:center;z-index:251660288;mso-width-relative:page;mso-height-relative:page;" filled="f" stroked="t" coordsize="21600,21600" o:gfxdata="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">
                <v:fill on="f" focussize="0,0"/>
                <v:stroke weight="4.5pt" color="#FF0000" linestyle="thinThick" joinstyle="round"/>
                <v:imagedata o:title=""/>
                <o:lock v:ext="edit" aspectratio="f"/>
              </v:line>
            </w:pict>
          </mc:Fallback>
        </mc:AlternateContent>
      </w:r>
      <w:r>
        <w:rPr>
          <w:rFonts w:hint="eastAsia" w:ascii="仿宋_GB2312" w:hAnsi="仿宋_GB2312" w:eastAsia="仿宋_GB2312" w:cs="仿宋_GB2312"/>
          <w:b w:val="0"/>
          <w:bCs w:val="0"/>
          <w:color w:val="000000" w:themeColor="text1"/>
          <w:sz w:val="32"/>
          <w:szCs w:val="32"/>
          <w14:textFill>
            <w14:solidFill>
              <w14:schemeClr w14:val="tx1"/>
            </w14:solidFill>
          </w14:textFill>
        </w:rPr>
        <w:t>期规划及年度计划的编制和上报等相关事务工作；承担全市以工代赈易地扶贫搬迁项目论证、可行性研究，负责项目库管理服务工作；争取以工代赈和易地扶贫搬迁资金，做好与上级部门的项目衔接工作；承担以工代赈和易地扶贫搬迁资金、地方配套资金计划的协调服务工作；负责以工代赈和易地扶贫搬迁项目建设的服务保障工作</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推行好以工代赈方式；负责做好以工代赈和易地扶贫搬迁领域深化改革工作，指导县区做好以工代赈和易地扶贫搬迁资产收益扶贫项目。负责消费帮扶重点产区建设和欠发达县域托底性帮扶工作。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outlineLvl w:val="1"/>
        <w:rPr>
          <w:rStyle w:val="20"/>
          <w:rFonts w:ascii="黑体" w:hAnsi="黑体" w:eastAsia="黑体"/>
          <w:b w:val="0"/>
          <w:bCs w:val="0"/>
          <w:color w:val="000000" w:themeColor="text1"/>
          <w14:textFill>
            <w14:solidFill>
              <w14:schemeClr w14:val="tx1"/>
            </w14:solidFill>
          </w14:textFill>
        </w:rPr>
      </w:pPr>
      <w:bookmarkStart w:id="23" w:name="_Toc8758"/>
      <w:r>
        <w:rPr>
          <w:rFonts w:hint="eastAsia" w:ascii="黑体" w:hAnsi="黑体" w:eastAsia="黑体"/>
          <w:color w:val="000000" w:themeColor="text1"/>
          <w:sz w:val="32"/>
          <w:szCs w:val="32"/>
          <w:lang w:eastAsia="zh-CN"/>
          <w14:textFill>
            <w14:solidFill>
              <w14:schemeClr w14:val="tx1"/>
            </w14:solidFill>
          </w14:textFill>
        </w:rPr>
        <w:t>二、</w:t>
      </w:r>
      <w:r>
        <w:rPr>
          <w:rFonts w:hint="eastAsia" w:ascii="黑体" w:hAnsi="黑体" w:eastAsia="黑体"/>
          <w:color w:val="000000" w:themeColor="text1"/>
          <w:sz w:val="32"/>
          <w:szCs w:val="32"/>
          <w14:textFill>
            <w14:solidFill>
              <w14:schemeClr w14:val="tx1"/>
            </w14:solidFill>
          </w14:textFill>
        </w:rPr>
        <w:t>机</w:t>
      </w:r>
      <w:r>
        <w:rPr>
          <w:rStyle w:val="20"/>
          <w:rFonts w:hint="eastAsia" w:ascii="黑体" w:hAnsi="黑体" w:eastAsia="黑体"/>
          <w:b w:val="0"/>
          <w:bCs w:val="0"/>
          <w:color w:val="000000" w:themeColor="text1"/>
          <w14:textFill>
            <w14:solidFill>
              <w14:schemeClr w14:val="tx1"/>
            </w14:solidFill>
          </w14:textFill>
        </w:rPr>
        <w:t>构设置</w:t>
      </w:r>
      <w:bookmarkEnd w:id="21"/>
      <w:bookmarkEnd w:id="22"/>
      <w:bookmarkEnd w:id="23"/>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ascii="仿宋" w:hAnsi="仿宋" w:eastAsia="仿宋"/>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市以工代赈事务中心为市级直属部门，无下属二级单位。2023年市以工代赈事务中心有参公事业编制10个，实有在职人员9人，退休人员7人。2023年由市委组织部统筹协助托底性帮扶工作挂职干部1人。</w:t>
      </w:r>
    </w:p>
    <w:p>
      <w:pPr>
        <w:pStyle w:val="2"/>
        <w:ind w:right="440"/>
        <w:jc w:val="center"/>
        <w:rPr>
          <w:color w:val="000000" w:themeColor="text1"/>
          <w:sz w:val="44"/>
          <w:szCs w:val="44"/>
          <w14:textFill>
            <w14:solidFill>
              <w14:schemeClr w14:val="tx1"/>
            </w14:solidFill>
          </w14:textFill>
        </w:rPr>
      </w:pPr>
      <w:bookmarkStart w:id="24" w:name="_Toc15396602"/>
      <w:bookmarkStart w:id="25" w:name="_Toc15377204"/>
      <w:bookmarkStart w:id="26" w:name="_Toc6380"/>
      <w:r>
        <w:rPr>
          <w:rFonts w:hint="eastAsia" w:ascii="黑体" w:hAnsi="黑体" w:eastAsia="黑体"/>
          <w:b w:val="0"/>
          <w:color w:val="000000" w:themeColor="text1"/>
          <w:sz w:val="44"/>
          <w:szCs w:val="44"/>
          <w14:textFill>
            <w14:solidFill>
              <w14:schemeClr w14:val="tx1"/>
            </w14:solidFill>
          </w14:textFill>
        </w:rPr>
        <w:t>第二部分 2023年度</w:t>
      </w:r>
      <w:r>
        <w:rPr>
          <w:rFonts w:hint="eastAsia" w:ascii="黑体" w:hAnsi="黑体" w:eastAsia="黑体"/>
          <w:b w:val="0"/>
          <w:color w:val="000000" w:themeColor="text1"/>
          <w:sz w:val="44"/>
          <w:szCs w:val="44"/>
          <w:lang w:val="en-US" w:eastAsia="zh-CN"/>
          <w14:textFill>
            <w14:solidFill>
              <w14:schemeClr w14:val="tx1"/>
            </w14:solidFill>
          </w14:textFill>
        </w:rPr>
        <w:t>部门</w:t>
      </w:r>
      <w:r>
        <w:rPr>
          <w:rStyle w:val="30"/>
          <w:rFonts w:hint="eastAsia" w:ascii="黑体" w:hAnsi="黑体" w:eastAsia="黑体"/>
          <w:b w:val="0"/>
          <w:bCs/>
          <w:color w:val="000000" w:themeColor="text1"/>
          <w:sz w:val="44"/>
          <w:szCs w:val="44"/>
          <w14:textFill>
            <w14:solidFill>
              <w14:schemeClr w14:val="tx1"/>
            </w14:solidFill>
          </w14:textFill>
        </w:rPr>
        <w:t>决算情况说明</w:t>
      </w:r>
      <w:bookmarkEnd w:id="24"/>
      <w:bookmarkEnd w:id="25"/>
      <w:bookmarkEnd w:id="26"/>
    </w:p>
    <w:p>
      <w:pPr>
        <w:pStyle w:val="29"/>
        <w:numPr>
          <w:ilvl w:val="0"/>
          <w:numId w:val="1"/>
        </w:numPr>
        <w:spacing w:line="600" w:lineRule="exact"/>
        <w:ind w:firstLineChars="0"/>
        <w:outlineLvl w:val="1"/>
        <w:rPr>
          <w:rStyle w:val="31"/>
          <w:rFonts w:ascii="黑体" w:hAnsi="黑体" w:eastAsia="黑体"/>
          <w:b w:val="0"/>
          <w:color w:val="000000" w:themeColor="text1"/>
          <w14:textFill>
            <w14:solidFill>
              <w14:schemeClr w14:val="tx1"/>
            </w14:solidFill>
          </w14:textFill>
        </w:rPr>
      </w:pPr>
      <w:bookmarkStart w:id="27" w:name="_Toc15396603"/>
      <w:bookmarkStart w:id="28" w:name="_Toc30822"/>
      <w:bookmarkStart w:id="29" w:name="_Toc15377205"/>
      <w:r>
        <w:rPr>
          <w:rFonts w:hint="eastAsia" w:ascii="黑体" w:hAnsi="黑体" w:eastAsia="黑体"/>
          <w:color w:val="000000" w:themeColor="text1"/>
          <w:sz w:val="32"/>
          <w:szCs w:val="32"/>
          <w14:textFill>
            <w14:solidFill>
              <w14:schemeClr w14:val="tx1"/>
            </w14:solidFill>
          </w14:textFill>
        </w:rPr>
        <w:t>收</w:t>
      </w:r>
      <w:r>
        <w:rPr>
          <w:rStyle w:val="31"/>
          <w:rFonts w:hint="eastAsia" w:ascii="黑体" w:hAnsi="黑体" w:eastAsia="黑体"/>
          <w:b w:val="0"/>
          <w:color w:val="000000" w:themeColor="text1"/>
          <w14:textFill>
            <w14:solidFill>
              <w14:schemeClr w14:val="tx1"/>
            </w14:solidFill>
          </w14:textFill>
        </w:rPr>
        <w:t>入支出决算总体情况说明</w:t>
      </w:r>
      <w:bookmarkEnd w:id="27"/>
      <w:bookmarkEnd w:id="28"/>
      <w:bookmarkEnd w:id="29"/>
    </w:p>
    <w:p>
      <w:pPr>
        <w:spacing w:line="600" w:lineRule="exact"/>
        <w:ind w:firstLine="640" w:firstLineChars="2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2023年度收、支总计均为305.25万元。与2022年度相比，收、支总计各增加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26.42</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万元，增长</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9.48</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%。主要变动原因是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新增欠发达县域托底性帮扶工作职能，</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增加了费用支出</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spacing w:line="600" w:lineRule="exact"/>
        <w:jc w:val="center"/>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图1：收、支决算总计变动情况图</w:t>
      </w:r>
    </w:p>
    <w:p>
      <w:pPr>
        <w:spacing w:line="600" w:lineRule="exact"/>
        <w:ind w:firstLine="6400" w:firstLineChars="2000"/>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单位：万元</w:t>
      </w:r>
    </w:p>
    <w:p>
      <w:pPr>
        <w:pStyle w:val="21"/>
        <w:rPr>
          <w:rFonts w:hint="eastAsia" w:ascii="仿宋" w:hAnsi="仿宋" w:eastAsia="仿宋"/>
          <w:color w:val="000000" w:themeColor="text1"/>
          <w:sz w:val="32"/>
          <w:szCs w:val="32"/>
          <w:lang w:val="en-US" w:eastAsia="zh-CN"/>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5256530" cy="2940685"/>
            <wp:effectExtent l="4445" t="4445" r="15875"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9"/>
        <w:numPr>
          <w:ilvl w:val="0"/>
          <w:numId w:val="1"/>
        </w:numPr>
        <w:spacing w:line="600" w:lineRule="exact"/>
        <w:ind w:firstLineChars="0"/>
        <w:outlineLvl w:val="1"/>
        <w:rPr>
          <w:rStyle w:val="31"/>
          <w:rFonts w:ascii="黑体" w:hAnsi="黑体" w:eastAsia="黑体"/>
          <w:b w:val="0"/>
          <w:color w:val="000000" w:themeColor="text1"/>
          <w14:textFill>
            <w14:solidFill>
              <w14:schemeClr w14:val="tx1"/>
            </w14:solidFill>
          </w14:textFill>
        </w:rPr>
      </w:pPr>
      <w:bookmarkStart w:id="30" w:name="_Toc15396604"/>
      <w:bookmarkStart w:id="31" w:name="_Toc15377206"/>
      <w:bookmarkStart w:id="32" w:name="_Toc11800"/>
      <w:r>
        <w:rPr>
          <w:rFonts w:hint="eastAsia" w:ascii="黑体" w:hAnsi="黑体" w:eastAsia="黑体"/>
          <w:color w:val="000000" w:themeColor="text1"/>
          <w:sz w:val="32"/>
          <w:szCs w:val="32"/>
          <w14:textFill>
            <w14:solidFill>
              <w14:schemeClr w14:val="tx1"/>
            </w14:solidFill>
          </w14:textFill>
        </w:rPr>
        <w:t>收</w:t>
      </w:r>
      <w:r>
        <w:rPr>
          <w:rStyle w:val="31"/>
          <w:rFonts w:hint="eastAsia" w:ascii="黑体" w:hAnsi="黑体" w:eastAsia="黑体"/>
          <w:b w:val="0"/>
          <w:color w:val="000000" w:themeColor="text1"/>
          <w14:textFill>
            <w14:solidFill>
              <w14:schemeClr w14:val="tx1"/>
            </w14:solidFill>
          </w14:textFill>
        </w:rPr>
        <w:t>入决算情况说明</w:t>
      </w:r>
      <w:bookmarkEnd w:id="30"/>
      <w:bookmarkEnd w:id="31"/>
      <w:bookmarkEnd w:id="32"/>
    </w:p>
    <w:p>
      <w:pPr>
        <w:spacing w:line="600" w:lineRule="exact"/>
        <w:ind w:firstLine="640" w:firstLineChars="200"/>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bookmarkStart w:id="33" w:name="_Toc20188"/>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2023年度收入合计305.25万元，其中：一般公共预算财政拨款收入305.25万元，占100%</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bookmarkEnd w:id="33"/>
    </w:p>
    <w:p>
      <w:pPr>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br w:type="page"/>
      </w:r>
    </w:p>
    <w:p>
      <w:pPr>
        <w:spacing w:line="600" w:lineRule="exact"/>
        <w:jc w:val="center"/>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图2：收入决算结构图</w:t>
      </w:r>
    </w:p>
    <w:p>
      <w:pPr>
        <w:spacing w:line="600" w:lineRule="exact"/>
        <w:jc w:val="center"/>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lang w:val="en-US" w:eastAsia="zh-CN"/>
          <w14:textFill>
            <w14:solidFill>
              <w14:schemeClr w14:val="tx1"/>
            </w14:solidFill>
          </w14:textFill>
        </w:rPr>
        <w:t xml:space="preserve">                                  </w:t>
      </w:r>
      <w:r>
        <w:rPr>
          <w:rFonts w:hint="eastAsia" w:ascii="楷体_GB2312" w:hAnsi="楷体_GB2312" w:eastAsia="楷体_GB2312" w:cs="方正楷体_GBK"/>
          <w:color w:val="000000" w:themeColor="text1"/>
          <w:sz w:val="32"/>
          <w:szCs w:val="32"/>
          <w14:textFill>
            <w14:solidFill>
              <w14:schemeClr w14:val="tx1"/>
            </w14:solidFill>
          </w14:textFill>
        </w:rPr>
        <w:t>单位：万元</w:t>
      </w:r>
    </w:p>
    <w:p>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5256530" cy="2197735"/>
            <wp:effectExtent l="5080" t="4445" r="1524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9"/>
        <w:numPr>
          <w:ilvl w:val="0"/>
          <w:numId w:val="1"/>
        </w:numPr>
        <w:spacing w:line="600" w:lineRule="exact"/>
        <w:ind w:firstLineChars="0"/>
        <w:outlineLvl w:val="1"/>
        <w:rPr>
          <w:rStyle w:val="31"/>
          <w:rFonts w:ascii="黑体" w:hAnsi="黑体" w:eastAsia="黑体"/>
          <w:b w:val="0"/>
          <w:color w:val="000000" w:themeColor="text1"/>
          <w14:textFill>
            <w14:solidFill>
              <w14:schemeClr w14:val="tx1"/>
            </w14:solidFill>
          </w14:textFill>
        </w:rPr>
      </w:pPr>
      <w:bookmarkStart w:id="34" w:name="_Toc15377207"/>
      <w:bookmarkStart w:id="35" w:name="_Toc29652"/>
      <w:bookmarkStart w:id="36" w:name="_Toc15396605"/>
      <w:r>
        <w:rPr>
          <w:rFonts w:hint="eastAsia" w:ascii="黑体" w:hAnsi="黑体" w:eastAsia="黑体"/>
          <w:color w:val="000000" w:themeColor="text1"/>
          <w:sz w:val="32"/>
          <w:szCs w:val="32"/>
          <w14:textFill>
            <w14:solidFill>
              <w14:schemeClr w14:val="tx1"/>
            </w14:solidFill>
          </w14:textFill>
        </w:rPr>
        <w:t>支</w:t>
      </w:r>
      <w:r>
        <w:rPr>
          <w:rStyle w:val="31"/>
          <w:rFonts w:hint="eastAsia" w:ascii="黑体" w:hAnsi="黑体" w:eastAsia="黑体"/>
          <w:b w:val="0"/>
          <w:color w:val="000000" w:themeColor="text1"/>
          <w14:textFill>
            <w14:solidFill>
              <w14:schemeClr w14:val="tx1"/>
            </w14:solidFill>
          </w14:textFill>
        </w:rPr>
        <w:t>出决算情况说明</w:t>
      </w:r>
      <w:bookmarkEnd w:id="34"/>
      <w:bookmarkEnd w:id="35"/>
      <w:bookmarkEnd w:id="36"/>
    </w:p>
    <w:p>
      <w:pPr>
        <w:spacing w:line="600" w:lineRule="exact"/>
        <w:ind w:firstLine="640" w:firstLineChars="200"/>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bookmarkStart w:id="37" w:name="_Toc28057"/>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2023年度支出合计305.1万元，其中：基本支出203.53万元，占66.7</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%；项目支出101.58万元，占33.29%。</w:t>
      </w:r>
      <w:bookmarkEnd w:id="37"/>
    </w:p>
    <w:p>
      <w:pPr>
        <w:spacing w:line="600" w:lineRule="exact"/>
        <w:jc w:val="center"/>
        <w:rPr>
          <w:rFonts w:hint="eastAsia" w:ascii="楷体_GB2312" w:hAnsi="楷体_GB2312" w:eastAsia="楷体_GB2312" w:cs="方正楷体_GBK"/>
          <w:color w:val="000000" w:themeColor="text1"/>
          <w:sz w:val="32"/>
          <w:szCs w:val="32"/>
          <w14:textFill>
            <w14:solidFill>
              <w14:schemeClr w14:val="tx1"/>
            </w14:solidFill>
          </w14:textFill>
        </w:rPr>
      </w:pPr>
      <w:bookmarkStart w:id="38" w:name="_Toc15396606"/>
      <w:bookmarkStart w:id="39" w:name="_Toc15377208"/>
      <w:r>
        <w:rPr>
          <w:rFonts w:hint="eastAsia" w:ascii="楷体_GB2312" w:hAnsi="楷体_GB2312" w:eastAsia="楷体_GB2312" w:cs="方正楷体_GBK"/>
          <w:color w:val="000000" w:themeColor="text1"/>
          <w:sz w:val="32"/>
          <w:szCs w:val="32"/>
          <w14:textFill>
            <w14:solidFill>
              <w14:schemeClr w14:val="tx1"/>
            </w14:solidFill>
          </w14:textFill>
        </w:rPr>
        <w:t>图3：支出决算结构图</w:t>
      </w:r>
    </w:p>
    <w:p>
      <w:pPr>
        <w:spacing w:line="600" w:lineRule="exact"/>
        <w:ind w:firstLine="6400" w:firstLineChars="2000"/>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单位：万元</w:t>
      </w:r>
    </w:p>
    <w:p>
      <w:pPr>
        <w:pStyle w:val="5"/>
        <w:bidi w:val="0"/>
        <w:ind w:left="600" w:hanging="600" w:hanging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5256530" cy="2703195"/>
            <wp:effectExtent l="4445" t="4445" r="15875"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Style w:val="5"/>
        <w:bidi w:val="0"/>
        <w:ind w:left="638" w:leftChars="304" w:firstLine="0" w:firstLineChars="0"/>
        <w:outlineLvl w:val="1"/>
        <w:rPr>
          <w:rStyle w:val="31"/>
          <w:rFonts w:ascii="黑体" w:hAnsi="黑体" w:eastAsia="黑体"/>
          <w:b w:val="0"/>
          <w:color w:val="000000" w:themeColor="text1"/>
          <w14:textFill>
            <w14:solidFill>
              <w14:schemeClr w14:val="tx1"/>
            </w14:solidFill>
          </w14:textFill>
        </w:rPr>
      </w:pPr>
      <w:bookmarkStart w:id="40" w:name="_Toc1177"/>
      <w:r>
        <w:rPr>
          <w:rFonts w:hint="eastAsia" w:ascii="黑体" w:hAnsi="黑体" w:eastAsia="黑体"/>
          <w:color w:val="000000" w:themeColor="text1"/>
          <w:sz w:val="32"/>
          <w:szCs w:val="32"/>
          <w14:textFill>
            <w14:solidFill>
              <w14:schemeClr w14:val="tx1"/>
            </w14:solidFill>
          </w14:textFill>
        </w:rPr>
        <w:t>四、财</w:t>
      </w:r>
      <w:r>
        <w:rPr>
          <w:rStyle w:val="31"/>
          <w:rFonts w:hint="eastAsia" w:ascii="黑体" w:hAnsi="黑体" w:eastAsia="黑体"/>
          <w:b w:val="0"/>
          <w:color w:val="000000" w:themeColor="text1"/>
          <w14:textFill>
            <w14:solidFill>
              <w14:schemeClr w14:val="tx1"/>
            </w14:solidFill>
          </w14:textFill>
        </w:rPr>
        <w:t>政拨款收入支出决算总体情况说明</w:t>
      </w:r>
      <w:bookmarkEnd w:id="38"/>
      <w:bookmarkEnd w:id="39"/>
      <w:bookmarkEnd w:id="40"/>
    </w:p>
    <w:p>
      <w:pPr>
        <w:spacing w:line="600" w:lineRule="exact"/>
        <w:ind w:firstLine="640" w:firstLineChars="2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2023年度财政拨款收、支总计均为305.25万元。与2022年度相比，财政拨款收、支总计各增加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26.42</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万元，增长</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9.48</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%。主要变动原因是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新增欠发达县域托底性帮扶工作职能，</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增加了费用支出</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jc w:val="center"/>
        <w:rPr>
          <w:rFonts w:hint="eastAsia" w:ascii="楷体_GB2312" w:hAnsi="楷体_GB2312" w:eastAsia="楷体_GB2312" w:cs="方正楷体_GBK"/>
          <w:color w:val="000000" w:themeColor="text1"/>
          <w:sz w:val="32"/>
          <w:szCs w:val="32"/>
          <w14:textFill>
            <w14:solidFill>
              <w14:schemeClr w14:val="tx1"/>
            </w14:solidFill>
          </w14:textFill>
        </w:rPr>
      </w:pPr>
      <w:bookmarkStart w:id="41" w:name="_Toc15377209"/>
      <w:bookmarkStart w:id="42" w:name="_Toc15396607"/>
      <w:r>
        <w:rPr>
          <w:rFonts w:hint="eastAsia" w:ascii="楷体_GB2312" w:hAnsi="楷体_GB2312" w:eastAsia="楷体_GB2312" w:cs="方正楷体_GBK"/>
          <w:color w:val="000000" w:themeColor="text1"/>
          <w:sz w:val="32"/>
          <w:szCs w:val="32"/>
          <w14:textFill>
            <w14:solidFill>
              <w14:schemeClr w14:val="tx1"/>
            </w14:solidFill>
          </w14:textFill>
        </w:rPr>
        <w:t>图4：财政拨款收、支决算总计变动情况</w:t>
      </w:r>
    </w:p>
    <w:p>
      <w:pPr>
        <w:spacing w:line="600" w:lineRule="exact"/>
        <w:ind w:firstLine="6400" w:firstLineChars="2000"/>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单位：万元</w:t>
      </w:r>
    </w:p>
    <w:p>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5256530" cy="2745740"/>
            <wp:effectExtent l="4445" t="4445" r="15875" b="1206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5"/>
        <w:bidi w:val="0"/>
        <w:ind w:firstLine="640" w:firstLineChars="200"/>
        <w:outlineLvl w:val="1"/>
        <w:rPr>
          <w:rStyle w:val="31"/>
          <w:rFonts w:ascii="黑体" w:hAnsi="黑体" w:eastAsia="黑体"/>
          <w:b w:val="0"/>
          <w:color w:val="000000" w:themeColor="text1"/>
          <w14:textFill>
            <w14:solidFill>
              <w14:schemeClr w14:val="tx1"/>
            </w14:solidFill>
          </w14:textFill>
        </w:rPr>
      </w:pPr>
      <w:bookmarkStart w:id="43" w:name="_Toc10515"/>
      <w:r>
        <w:rPr>
          <w:rFonts w:hint="eastAsia" w:ascii="黑体" w:hAnsi="黑体" w:eastAsia="黑体"/>
          <w:color w:val="000000" w:themeColor="text1"/>
          <w:sz w:val="32"/>
          <w:szCs w:val="32"/>
          <w14:textFill>
            <w14:solidFill>
              <w14:schemeClr w14:val="tx1"/>
            </w14:solidFill>
          </w14:textFill>
        </w:rPr>
        <w:t>五、</w:t>
      </w:r>
      <w:r>
        <w:rPr>
          <w:rFonts w:hint="eastAsia" w:ascii="黑体" w:hAnsi="黑体" w:eastAsia="黑体"/>
          <w:b/>
          <w:color w:val="000000" w:themeColor="text1"/>
          <w:sz w:val="32"/>
          <w:szCs w:val="32"/>
          <w14:textFill>
            <w14:solidFill>
              <w14:schemeClr w14:val="tx1"/>
            </w14:solidFill>
          </w14:textFill>
        </w:rPr>
        <w:t>一</w:t>
      </w:r>
      <w:r>
        <w:rPr>
          <w:rStyle w:val="31"/>
          <w:rFonts w:hint="eastAsia" w:ascii="黑体" w:hAnsi="黑体" w:eastAsia="黑体"/>
          <w:b w:val="0"/>
          <w:color w:val="000000" w:themeColor="text1"/>
          <w14:textFill>
            <w14:solidFill>
              <w14:schemeClr w14:val="tx1"/>
            </w14:solidFill>
          </w14:textFill>
        </w:rPr>
        <w:t>般公共预算财政拨款支出决算情况说明</w:t>
      </w:r>
      <w:bookmarkEnd w:id="41"/>
      <w:bookmarkEnd w:id="42"/>
      <w:bookmarkEnd w:id="43"/>
    </w:p>
    <w:p>
      <w:pPr>
        <w:spacing w:line="600" w:lineRule="exact"/>
        <w:ind w:firstLine="640" w:firstLineChars="200"/>
        <w:outlineLvl w:val="2"/>
        <w:rPr>
          <w:rFonts w:hint="eastAsia" w:ascii="楷体_GB2312" w:hAnsi="楷体_GB2312" w:eastAsia="楷体_GB2312" w:cs="楷体_GB2312"/>
          <w:b w:val="0"/>
          <w:bCs/>
          <w:color w:val="000000" w:themeColor="text1"/>
          <w:sz w:val="32"/>
          <w:szCs w:val="32"/>
          <w14:textFill>
            <w14:solidFill>
              <w14:schemeClr w14:val="tx1"/>
            </w14:solidFill>
          </w14:textFill>
        </w:rPr>
      </w:pPr>
      <w:bookmarkStart w:id="44" w:name="_Toc15377210"/>
      <w:r>
        <w:rPr>
          <w:rFonts w:hint="eastAsia" w:ascii="楷体_GB2312" w:hAnsi="楷体_GB2312" w:eastAsia="楷体_GB2312" w:cs="楷体_GB2312"/>
          <w:b w:val="0"/>
          <w:bCs/>
          <w:color w:val="000000" w:themeColor="text1"/>
          <w:sz w:val="32"/>
          <w:szCs w:val="32"/>
          <w14:textFill>
            <w14:solidFill>
              <w14:schemeClr w14:val="tx1"/>
            </w14:solidFill>
          </w14:textFill>
        </w:rPr>
        <w:t>（一）一般公共预算财政拨款支出决算总体情况</w:t>
      </w:r>
      <w:bookmarkEnd w:id="44"/>
    </w:p>
    <w:p>
      <w:pPr>
        <w:spacing w:line="600" w:lineRule="exact"/>
        <w:ind w:firstLine="640" w:firstLineChars="2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2023年度一般公共预算财政拨款支出305.1万元，占本年支出合计的100%。与2022年度相比，一般公共预算财政拨款支出增加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26.27</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万元，增长</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9.42</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%。主要变动原因是</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新增欠发达县域托底性帮扶工作职能，</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增加了费用支出</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color w:val="000000" w:themeColor="text1"/>
          <w:sz w:val="32"/>
          <w:szCs w:val="32"/>
          <w14:textFill>
            <w14:solidFill>
              <w14:schemeClr w14:val="tx1"/>
            </w14:solidFill>
          </w14:textFill>
        </w:rPr>
      </w:pPr>
      <w:bookmarkStart w:id="45" w:name="_Toc15377211"/>
      <w:r>
        <w:rPr>
          <w:rFonts w:hint="eastAsia" w:ascii="楷体_GB2312" w:hAnsi="楷体_GB2312" w:eastAsia="楷体_GB2312" w:cs="楷体_GB2312"/>
          <w:color w:val="000000" w:themeColor="text1"/>
          <w:sz w:val="32"/>
          <w:szCs w:val="32"/>
          <w14:textFill>
            <w14:solidFill>
              <w14:schemeClr w14:val="tx1"/>
            </w14:solidFill>
          </w14:textFill>
        </w:rPr>
        <w:t>图5：一般公共预算财政拨款支出决算变动情况</w:t>
      </w:r>
    </w:p>
    <w:p>
      <w:pPr>
        <w:spacing w:line="600" w:lineRule="exact"/>
        <w:ind w:firstLine="6400" w:firstLineChars="2000"/>
        <w:rPr>
          <w:color w:val="000000" w:themeColor="text1"/>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单位：万元</w:t>
      </w:r>
    </w:p>
    <w:p>
      <w:pPr>
        <w:pStyle w:val="5"/>
        <w:bidi w:val="0"/>
        <w:ind w:left="600" w:hanging="600" w:hanging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5256530" cy="2221230"/>
            <wp:effectExtent l="4445" t="4445" r="5715" b="2095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pStyle w:val="5"/>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（二）一般公共预算财政拨款支出决算结构情况</w:t>
      </w:r>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2023年度一般公共预算财政拨款支出305.1万元，主要用于以下方面</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一般公共服务支出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265.89</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87.15</w:t>
      </w:r>
      <w:r>
        <w:rPr>
          <w:rFonts w:hint="eastAsia" w:ascii="仿宋_GB2312" w:hAnsi="仿宋_GB2312" w:eastAsia="仿宋_GB2312" w:cs="仿宋_GB2312"/>
          <w:b w:val="0"/>
          <w:bCs w:val="0"/>
          <w:color w:val="000000" w:themeColor="text1"/>
          <w:sz w:val="32"/>
          <w:szCs w:val="32"/>
          <w14:textFill>
            <w14:solidFill>
              <w14:schemeClr w14:val="tx1"/>
            </w14:solidFill>
          </w14:textFill>
        </w:rPr>
        <w:t>%；社会保障和就业支出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12.64</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4.14</w:t>
      </w:r>
      <w:r>
        <w:rPr>
          <w:rFonts w:hint="eastAsia" w:ascii="仿宋_GB2312" w:hAnsi="仿宋_GB2312" w:eastAsia="仿宋_GB2312" w:cs="仿宋_GB2312"/>
          <w:b w:val="0"/>
          <w:bCs w:val="0"/>
          <w:color w:val="000000" w:themeColor="text1"/>
          <w:sz w:val="32"/>
          <w:szCs w:val="32"/>
          <w14:textFill>
            <w14:solidFill>
              <w14:schemeClr w14:val="tx1"/>
            </w14:solidFill>
          </w14:textFill>
        </w:rPr>
        <w:t>%；卫生健康支出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7.67</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2.51</w:t>
      </w:r>
      <w:r>
        <w:rPr>
          <w:rFonts w:hint="eastAsia" w:ascii="仿宋_GB2312" w:hAnsi="仿宋_GB2312" w:eastAsia="仿宋_GB2312" w:cs="仿宋_GB2312"/>
          <w:b w:val="0"/>
          <w:bCs w:val="0"/>
          <w:color w:val="000000" w:themeColor="text1"/>
          <w:sz w:val="32"/>
          <w:szCs w:val="32"/>
          <w14:textFill>
            <w14:solidFill>
              <w14:schemeClr w14:val="tx1"/>
            </w14:solidFill>
          </w14:textFill>
        </w:rPr>
        <w:t>%；住房保障支出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18.9</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6.2</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方正楷体_GBK"/>
          <w:color w:val="000000" w:themeColor="text1"/>
          <w:sz w:val="32"/>
          <w:szCs w:val="32"/>
          <w14:textFill>
            <w14:solidFill>
              <w14:schemeClr w14:val="tx1"/>
            </w14:solidFill>
          </w14:textFill>
        </w:rPr>
      </w:pPr>
      <w:bookmarkStart w:id="46" w:name="_Toc15377212"/>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图6：一般公共预算财政拨款支出决算结构</w:t>
      </w:r>
    </w:p>
    <w:p>
      <w:pPr>
        <w:keepNext w:val="0"/>
        <w:keepLines w:val="0"/>
        <w:pageBreakBefore w:val="0"/>
        <w:widowControl w:val="0"/>
        <w:kinsoku/>
        <w:wordWrap/>
        <w:overflowPunct/>
        <w:topLinePunct w:val="0"/>
        <w:autoSpaceDE/>
        <w:autoSpaceDN/>
        <w:bidi w:val="0"/>
        <w:adjustRightInd/>
        <w:snapToGrid/>
        <w:spacing w:line="576" w:lineRule="exact"/>
        <w:ind w:firstLine="6400" w:firstLineChars="2000"/>
        <w:textAlignment w:val="auto"/>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drawing>
          <wp:anchor distT="0" distB="0" distL="114300" distR="114300" simplePos="0" relativeHeight="251661312" behindDoc="0" locked="0" layoutInCell="1" allowOverlap="1">
            <wp:simplePos x="0" y="0"/>
            <wp:positionH relativeFrom="column">
              <wp:posOffset>-80645</wp:posOffset>
            </wp:positionH>
            <wp:positionV relativeFrom="paragraph">
              <wp:posOffset>328295</wp:posOffset>
            </wp:positionV>
            <wp:extent cx="5280660" cy="2077085"/>
            <wp:effectExtent l="5080" t="4445" r="17780" b="1778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楷体_GB2312" w:hAnsi="楷体_GB2312" w:eastAsia="楷体_GB2312" w:cs="方正楷体_GBK"/>
          <w:color w:val="000000" w:themeColor="text1"/>
          <w:sz w:val="32"/>
          <w:szCs w:val="32"/>
          <w14:textFill>
            <w14:solidFill>
              <w14:schemeClr w14:val="tx1"/>
            </w14:solidFill>
          </w14:textFill>
        </w:rPr>
        <w:t>单位：万元</w:t>
      </w:r>
    </w:p>
    <w:p>
      <w:pPr>
        <w:pStyle w:val="5"/>
        <w:bidi w:val="0"/>
        <w:rPr>
          <w:rFonts w:hint="eastAsia" w:ascii="仿宋" w:hAnsi="仿宋" w:eastAsia="仿宋"/>
          <w:color w:val="000000" w:themeColor="text1"/>
          <w:sz w:val="32"/>
          <w:szCs w:val="32"/>
          <w14:textFill>
            <w14:solidFill>
              <w14:schemeClr w14:val="tx1"/>
            </w14:solidFill>
          </w14:textFill>
        </w:rPr>
      </w:pPr>
    </w:p>
    <w:p>
      <w:pPr>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br w:type="page"/>
      </w:r>
    </w:p>
    <w:p>
      <w:pPr>
        <w:pStyle w:val="5"/>
        <w:keepNext w:val="0"/>
        <w:keepLines w:val="0"/>
        <w:pageBreakBefore w:val="0"/>
        <w:widowControl w:val="0"/>
        <w:kinsoku/>
        <w:wordWrap/>
        <w:overflowPunct/>
        <w:topLinePunct w:val="0"/>
        <w:autoSpaceDE/>
        <w:autoSpaceDN/>
        <w:bidi w:val="0"/>
        <w:adjustRightInd/>
        <w:snapToGrid/>
        <w:spacing w:beforeLines="0" w:line="580" w:lineRule="exact"/>
        <w:ind w:firstLine="640" w:firstLineChars="20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（三）一般公共预算财政拨款支出决算具体情况</w:t>
      </w:r>
      <w:bookmarkEnd w:id="46"/>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bookmarkStart w:id="47" w:name="_Toc15377444"/>
      <w:bookmarkStart w:id="48" w:name="_Toc15378460"/>
      <w:bookmarkStart w:id="49" w:name="_Toc15377213"/>
      <w:r>
        <w:rPr>
          <w:rFonts w:hint="eastAsia" w:ascii="仿宋_GB2312" w:hAnsi="仿宋_GB2312" w:eastAsia="仿宋_GB2312" w:cs="仿宋_GB2312"/>
          <w:b w:val="0"/>
          <w:bCs/>
          <w:color w:val="000000" w:themeColor="text1"/>
          <w:sz w:val="32"/>
          <w:szCs w:val="32"/>
          <w14:textFill>
            <w14:solidFill>
              <w14:schemeClr w14:val="tx1"/>
            </w14:solidFill>
          </w14:textFill>
        </w:rPr>
        <w:t>2023年度一般公共预算支出决算数为305.1，</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完成预算</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99.95</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%。其中：</w:t>
      </w:r>
      <w:bookmarkEnd w:id="47"/>
      <w:bookmarkEnd w:id="48"/>
      <w:bookmarkEnd w:id="49"/>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1.一般公共服务</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支出</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（类）政府办公厅（室）及相关机构事务（款）其他政府办公厅（室）及相关机构事务支出（项）</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 xml:space="preserve"> 支出决算为</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265.89</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万元，完成预算</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99.94</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%，决算数小于预算数的主要原因是</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部分费用在下年度支付</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Style w:val="18"/>
          <w:rFonts w:hint="eastAsia" w:ascii="仿宋_GB2312" w:hAnsi="仿宋_GB2312" w:eastAsia="仿宋_GB2312" w:cs="仿宋_GB2312"/>
          <w:b w:val="0"/>
          <w:bCs/>
          <w:color w:val="000000" w:themeColor="text1"/>
          <w:sz w:val="32"/>
          <w:szCs w:val="32"/>
          <w14:textFill>
            <w14:solidFill>
              <w14:schemeClr w14:val="tx1"/>
            </w14:solidFill>
          </w14:textFill>
        </w:rPr>
      </w:pP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.社会保障和就业</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支出</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（类）行政事业单位养老支出（款）机关事业单位基本养老保险缴费支出（项）</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 xml:space="preserve"> 支出决算为</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12.49</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万元，完成预算</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100</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Style w:val="18"/>
          <w:rFonts w:hint="eastAsia" w:ascii="仿宋_GB2312" w:hAnsi="仿宋_GB2312" w:eastAsia="仿宋_GB2312" w:cs="仿宋_GB2312"/>
          <w:b w:val="0"/>
          <w:bCs/>
          <w:color w:val="000000" w:themeColor="text1"/>
          <w:sz w:val="32"/>
          <w:szCs w:val="32"/>
          <w14:textFill>
            <w14:solidFill>
              <w14:schemeClr w14:val="tx1"/>
            </w14:solidFill>
          </w14:textFill>
        </w:rPr>
      </w:pP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.社会保障和就业</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支出</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（类）其他社会保障和就业支出（款）其他社会保障和就业支出（项）</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 xml:space="preserve"> 支出决算为</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0.15</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万元，完成预算</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100</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4</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卫生健康</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支出</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（类）行政事业单位医疗（款）行政单位医疗（项）</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支出决算为</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7.67</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万元，完成预算</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100</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Style w:val="18"/>
          <w:rFonts w:hint="eastAsia" w:ascii="仿宋_GB2312" w:hAnsi="仿宋_GB2312" w:eastAsia="仿宋_GB2312" w:cs="仿宋_GB2312"/>
          <w:b w:val="0"/>
          <w:bCs/>
          <w:color w:val="000000" w:themeColor="text1"/>
          <w:sz w:val="32"/>
          <w:szCs w:val="32"/>
          <w14:textFill>
            <w14:solidFill>
              <w14:schemeClr w14:val="tx1"/>
            </w14:solidFill>
          </w14:textFill>
        </w:rPr>
      </w:pP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5</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住房保障支出</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（类）住房改革支出（款）住房公积金（项）</w:t>
      </w:r>
      <w:r>
        <w:rPr>
          <w:rStyle w:val="18"/>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支出决算为</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18.9</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万元，完成预算</w:t>
      </w:r>
      <w:r>
        <w:rPr>
          <w:rStyle w:val="18"/>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100</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w:t>
      </w:r>
    </w:p>
    <w:p>
      <w:pPr>
        <w:keepNext w:val="0"/>
        <w:keepLines w:val="0"/>
        <w:pageBreakBefore w:val="0"/>
        <w:widowControl w:val="0"/>
        <w:tabs>
          <w:tab w:val="right" w:pos="8306"/>
        </w:tabs>
        <w:kinsoku/>
        <w:wordWrap/>
        <w:overflowPunct/>
        <w:topLinePunct w:val="0"/>
        <w:autoSpaceDE/>
        <w:autoSpaceDN/>
        <w:bidi w:val="0"/>
        <w:adjustRightInd/>
        <w:snapToGrid/>
        <w:spacing w:line="580" w:lineRule="exact"/>
        <w:ind w:firstLine="640"/>
        <w:textAlignment w:val="auto"/>
        <w:outlineLvl w:val="1"/>
        <w:rPr>
          <w:rStyle w:val="31"/>
          <w:color w:val="000000" w:themeColor="text1"/>
          <w14:textFill>
            <w14:solidFill>
              <w14:schemeClr w14:val="tx1"/>
            </w14:solidFill>
          </w14:textFill>
        </w:rPr>
      </w:pPr>
      <w:bookmarkStart w:id="50" w:name="_Toc15377214"/>
      <w:bookmarkStart w:id="51" w:name="_Toc312"/>
      <w:bookmarkStart w:id="52" w:name="_Toc15396608"/>
      <w:r>
        <w:rPr>
          <w:rFonts w:hint="eastAsia" w:ascii="黑体" w:eastAsia="黑体"/>
          <w:color w:val="000000" w:themeColor="text1"/>
          <w:sz w:val="32"/>
          <w:szCs w:val="32"/>
          <w14:textFill>
            <w14:solidFill>
              <w14:schemeClr w14:val="tx1"/>
            </w14:solidFill>
          </w14:textFill>
        </w:rPr>
        <w:t>六</w:t>
      </w:r>
      <w:r>
        <w:rPr>
          <w:rFonts w:hint="eastAsia" w:ascii="黑体" w:eastAsia="黑体"/>
          <w:b/>
          <w:color w:val="000000" w:themeColor="text1"/>
          <w:sz w:val="32"/>
          <w:szCs w:val="32"/>
          <w14:textFill>
            <w14:solidFill>
              <w14:schemeClr w14:val="tx1"/>
            </w14:solidFill>
          </w14:textFill>
        </w:rPr>
        <w:t>、</w:t>
      </w:r>
      <w:r>
        <w:rPr>
          <w:rFonts w:hint="eastAsia" w:ascii="黑体" w:hAnsi="黑体" w:eastAsia="黑体"/>
          <w:b/>
          <w:color w:val="000000" w:themeColor="text1"/>
          <w:sz w:val="32"/>
          <w:szCs w:val="32"/>
          <w14:textFill>
            <w14:solidFill>
              <w14:schemeClr w14:val="tx1"/>
            </w14:solidFill>
          </w14:textFill>
        </w:rPr>
        <w:t>一</w:t>
      </w:r>
      <w:r>
        <w:rPr>
          <w:rStyle w:val="31"/>
          <w:rFonts w:hint="eastAsia" w:ascii="黑体" w:hAnsi="黑体" w:eastAsia="黑体"/>
          <w:b w:val="0"/>
          <w:color w:val="000000" w:themeColor="text1"/>
          <w14:textFill>
            <w14:solidFill>
              <w14:schemeClr w14:val="tx1"/>
            </w14:solidFill>
          </w14:textFill>
        </w:rPr>
        <w:t>般公共预算财政拨款基本支出决算情况说明</w:t>
      </w:r>
      <w:bookmarkEnd w:id="50"/>
      <w:bookmarkEnd w:id="51"/>
      <w:bookmarkEnd w:id="52"/>
      <w:r>
        <w:rPr>
          <w:rStyle w:val="31"/>
          <w:rFonts w:ascii="黑体" w:hAnsi="黑体" w:eastAsia="黑体"/>
          <w:b w:val="0"/>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2023年度一般公共预算财政拨款基本支出203.53万元，其中：</w:t>
      </w: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人员经费178.87万元，主要包括：基本工资、津贴补贴、奖金、机关事业单位基本养老保险缴费、职工基本医疗保险缴费</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其他社会保障缴费、住房公积金</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生活补助、奖励金、其他对个人和家庭的补助支出。</w:t>
      </w:r>
      <w:r>
        <w:rPr>
          <w:rFonts w:hint="eastAsia" w:ascii="仿宋_GB2312" w:hAnsi="仿宋_GB2312" w:eastAsia="仿宋_GB2312" w:cs="仿宋_GB2312"/>
          <w:b w:val="0"/>
          <w:bCs w:val="0"/>
          <w:color w:val="000000" w:themeColor="text1"/>
          <w:sz w:val="32"/>
          <w:szCs w:val="32"/>
          <w14:textFill>
            <w14:solidFill>
              <w14:schemeClr w14:val="tx1"/>
            </w14:solidFill>
          </w14:textFill>
        </w:rPr>
        <w:br w:type="textWrapping"/>
      </w:r>
      <w:r>
        <w:rPr>
          <w:rFonts w:hint="eastAsia" w:ascii="仿宋_GB2312" w:hAnsi="仿宋_GB2312" w:eastAsia="仿宋_GB2312" w:cs="仿宋_GB2312"/>
          <w:b w:val="0"/>
          <w:bCs w:val="0"/>
          <w:color w:val="000000" w:themeColor="text1"/>
          <w:sz w:val="32"/>
          <w:szCs w:val="32"/>
          <w14:textFill>
            <w14:solidFill>
              <w14:schemeClr w14:val="tx1"/>
            </w14:solidFill>
          </w14:textFill>
        </w:rPr>
        <w:t>　　公用经费24.66万元，主要包括：手续费、培训费、工会经费、福利费、公务用车运行维护费、其他交通费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用</w:t>
      </w:r>
      <w:r>
        <w:rPr>
          <w:rFonts w:hint="eastAsia" w:ascii="仿宋_GB2312" w:hAnsi="仿宋_GB2312" w:eastAsia="仿宋_GB2312" w:cs="仿宋_GB2312"/>
          <w:b w:val="0"/>
          <w:bCs w:val="0"/>
          <w:color w:val="000000" w:themeColor="text1"/>
          <w:sz w:val="32"/>
          <w:szCs w:val="32"/>
          <w14:textFill>
            <w14:solidFill>
              <w14:schemeClr w14:val="tx1"/>
            </w14:solidFill>
          </w14:textFill>
        </w:rPr>
        <w:t>、其他商品和服务支出等。</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1"/>
        <w:rPr>
          <w:rStyle w:val="31"/>
          <w:rFonts w:ascii="黑体" w:hAnsi="黑体" w:eastAsia="黑体"/>
          <w:b w:val="0"/>
          <w:color w:val="000000" w:themeColor="text1"/>
          <w14:textFill>
            <w14:solidFill>
              <w14:schemeClr w14:val="tx1"/>
            </w14:solidFill>
          </w14:textFill>
        </w:rPr>
      </w:pPr>
      <w:bookmarkStart w:id="53" w:name="_Toc15396609"/>
      <w:bookmarkStart w:id="54" w:name="_Toc15377215"/>
      <w:bookmarkStart w:id="55" w:name="_Toc2623"/>
      <w:r>
        <w:rPr>
          <w:rFonts w:hint="eastAsia" w:ascii="黑体" w:eastAsia="黑体"/>
          <w:color w:val="000000" w:themeColor="text1"/>
          <w:sz w:val="32"/>
          <w:szCs w:val="32"/>
          <w14:textFill>
            <w14:solidFill>
              <w14:schemeClr w14:val="tx1"/>
            </w14:solidFill>
          </w14:textFill>
        </w:rPr>
        <w:t>七、</w:t>
      </w:r>
      <w:r>
        <w:rPr>
          <w:rStyle w:val="31"/>
          <w:rFonts w:hint="eastAsia" w:ascii="黑体" w:hAnsi="黑体" w:eastAsia="黑体"/>
          <w:b w:val="0"/>
          <w:color w:val="000000" w:themeColor="text1"/>
          <w14:textFill>
            <w14:solidFill>
              <w14:schemeClr w14:val="tx1"/>
            </w14:solidFill>
          </w14:textFill>
        </w:rPr>
        <w:t>财政拨款</w:t>
      </w:r>
      <w:r>
        <w:rPr>
          <w:rStyle w:val="31"/>
          <w:rFonts w:hint="eastAsia" w:ascii="黑体" w:hAnsi="黑体" w:eastAsia="黑体"/>
          <w:color w:val="000000" w:themeColor="text1"/>
          <w14:textFill>
            <w14:solidFill>
              <w14:schemeClr w14:val="tx1"/>
            </w14:solidFill>
          </w14:textFill>
        </w:rPr>
        <w:t>“</w:t>
      </w:r>
      <w:r>
        <w:rPr>
          <w:rStyle w:val="31"/>
          <w:rFonts w:hint="eastAsia" w:ascii="黑体" w:hAnsi="黑体" w:eastAsia="黑体"/>
          <w:b w:val="0"/>
          <w:color w:val="000000" w:themeColor="text1"/>
          <w14:textFill>
            <w14:solidFill>
              <w14:schemeClr w14:val="tx1"/>
            </w14:solidFill>
          </w14:textFill>
        </w:rPr>
        <w:t>三公”经费支出决算情况说明</w:t>
      </w:r>
      <w:bookmarkEnd w:id="53"/>
      <w:bookmarkEnd w:id="54"/>
      <w:bookmarkEnd w:id="55"/>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2"/>
        <w:rPr>
          <w:rFonts w:hint="eastAsia" w:ascii="楷体_GB2312" w:hAnsi="楷体_GB2312" w:eastAsia="楷体_GB2312" w:cs="楷体_GB2312"/>
          <w:b w:val="0"/>
          <w:bCs/>
          <w:color w:val="000000" w:themeColor="text1"/>
          <w:sz w:val="32"/>
          <w:szCs w:val="32"/>
          <w14:textFill>
            <w14:solidFill>
              <w14:schemeClr w14:val="tx1"/>
            </w14:solidFill>
          </w14:textFill>
        </w:rPr>
      </w:pPr>
      <w:bookmarkStart w:id="56" w:name="_Toc15377216"/>
      <w:r>
        <w:rPr>
          <w:rFonts w:hint="eastAsia" w:ascii="楷体_GB2312" w:hAnsi="楷体_GB2312" w:eastAsia="楷体_GB2312" w:cs="楷体_GB2312"/>
          <w:b w:val="0"/>
          <w:bCs/>
          <w:color w:val="000000" w:themeColor="text1"/>
          <w:sz w:val="32"/>
          <w:szCs w:val="32"/>
          <w14:textFill>
            <w14:solidFill>
              <w14:schemeClr w14:val="tx1"/>
            </w14:solidFill>
          </w14:textFill>
        </w:rPr>
        <w:t>（一）“三公”经费财政拨款支出决算总体情况说明</w:t>
      </w:r>
      <w:bookmarkEnd w:id="56"/>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ascii="仿宋" w:hAnsi="仿宋" w:eastAsia="仿宋"/>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2023年度“三公”经费财政拨款支出决算为5.66万元，完成预算98.74%，较上年度减少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1.93</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万元，下降</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25.43</w:t>
      </w:r>
      <w:r>
        <w:rPr>
          <w:rFonts w:hint="eastAsia" w:ascii="仿宋_GB2312" w:hAnsi="仿宋_GB2312" w:eastAsia="仿宋_GB2312" w:cs="仿宋_GB2312"/>
          <w:b w:val="0"/>
          <w:bCs w:val="0"/>
          <w:color w:val="000000" w:themeColor="text1"/>
          <w:sz w:val="32"/>
          <w:szCs w:val="32"/>
          <w14:textFill>
            <w14:solidFill>
              <w14:schemeClr w14:val="tx1"/>
            </w14:solidFill>
          </w14:textFill>
        </w:rPr>
        <w:t>%。决算数小于预算数的主要原因是</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厉行节约减少了费用</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2"/>
        <w:rPr>
          <w:rFonts w:hint="eastAsia" w:ascii="楷体_GB2312" w:hAnsi="楷体_GB2312" w:eastAsia="楷体_GB2312" w:cs="楷体_GB2312"/>
          <w:b w:val="0"/>
          <w:bCs/>
          <w:color w:val="000000" w:themeColor="text1"/>
          <w:sz w:val="32"/>
          <w:szCs w:val="32"/>
          <w14:textFill>
            <w14:solidFill>
              <w14:schemeClr w14:val="tx1"/>
            </w14:solidFill>
          </w14:textFill>
        </w:rPr>
      </w:pPr>
      <w:bookmarkStart w:id="57" w:name="_Toc15377217"/>
      <w:r>
        <w:rPr>
          <w:rFonts w:hint="eastAsia" w:ascii="楷体_GB2312" w:hAnsi="楷体_GB2312" w:eastAsia="楷体_GB2312" w:cs="楷体_GB2312"/>
          <w:b w:val="0"/>
          <w:bCs/>
          <w:color w:val="000000" w:themeColor="text1"/>
          <w:sz w:val="32"/>
          <w:szCs w:val="32"/>
          <w14:textFill>
            <w14:solidFill>
              <w14:schemeClr w14:val="tx1"/>
            </w14:solidFill>
          </w14:textFill>
        </w:rPr>
        <w:t>（二）“三公”经费财政拨款支出决算具体情况说明</w:t>
      </w:r>
      <w:bookmarkEnd w:id="57"/>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2023年度“三公”经费财政拨款支出决算中，因公出国（境）费支出决算0万元，占0%；公务用车购置及运行维护费支出决算4.83万元，占85.38%；公务接待费支出决算0.83万元，占14.61%。具体情况如下：</w:t>
      </w:r>
    </w:p>
    <w:p>
      <w:pPr>
        <w:rPr>
          <w:rFonts w:hint="eastAsia" w:ascii="楷体_GB2312" w:hAnsi="楷体_GB2312" w:eastAsia="楷体_GB2312" w:cs="方正楷体_GBK"/>
          <w:color w:val="000000" w:themeColor="text1"/>
          <w:sz w:val="32"/>
          <w:szCs w:val="32"/>
          <w14:textFill>
            <w14:solidFill>
              <w14:schemeClr w14:val="tx1"/>
            </w14:solidFill>
          </w14:textFill>
        </w:rPr>
      </w:pPr>
      <w:bookmarkStart w:id="58" w:name="_Toc15396610"/>
      <w:bookmarkStart w:id="59" w:name="_Toc15377218"/>
      <w:r>
        <w:rPr>
          <w:rFonts w:hint="eastAsia" w:ascii="楷体_GB2312" w:hAnsi="楷体_GB2312" w:eastAsia="楷体_GB2312" w:cs="方正楷体_GBK"/>
          <w:color w:val="000000" w:themeColor="text1"/>
          <w:sz w:val="32"/>
          <w:szCs w:val="32"/>
          <w14:textFill>
            <w14:solidFill>
              <w14:schemeClr w14:val="tx1"/>
            </w14:solidFill>
          </w14:textFill>
        </w:rPr>
        <w:br w:type="page"/>
      </w:r>
    </w:p>
    <w:p>
      <w:pPr>
        <w:spacing w:line="600" w:lineRule="exact"/>
        <w:jc w:val="center"/>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图7：“三公”经费财政拨款支出结构</w:t>
      </w:r>
    </w:p>
    <w:p>
      <w:pPr>
        <w:spacing w:line="600" w:lineRule="exact"/>
        <w:ind w:firstLine="6400" w:firstLineChars="2000"/>
        <w:rPr>
          <w:rFonts w:hint="eastAsia" w:ascii="楷体_GB2312" w:hAnsi="楷体_GB2312" w:eastAsia="楷体_GB2312" w:cs="方正楷体_GBK"/>
          <w:color w:val="000000" w:themeColor="text1"/>
          <w:sz w:val="32"/>
          <w:szCs w:val="32"/>
          <w14:textFill>
            <w14:solidFill>
              <w14:schemeClr w14:val="tx1"/>
            </w14:solidFill>
          </w14:textFill>
        </w:rPr>
      </w:pPr>
      <w:r>
        <w:rPr>
          <w:rFonts w:hint="eastAsia" w:ascii="楷体_GB2312" w:hAnsi="楷体_GB2312" w:eastAsia="楷体_GB2312" w:cs="方正楷体_GBK"/>
          <w:color w:val="000000" w:themeColor="text1"/>
          <w:sz w:val="32"/>
          <w:szCs w:val="32"/>
          <w14:textFill>
            <w14:solidFill>
              <w14:schemeClr w14:val="tx1"/>
            </w14:solidFill>
          </w14:textFill>
        </w:rPr>
        <w:t>单位：万元</w:t>
      </w:r>
    </w:p>
    <w:p>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5044440" cy="2581275"/>
            <wp:effectExtent l="4445" t="4445" r="18415"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ind w:firstLine="640"/>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1.因公出国（境）经费支出0万元，</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完成预算0%。</w:t>
      </w:r>
      <w:r>
        <w:rPr>
          <w:rFonts w:hint="eastAsia" w:ascii="仿宋_GB2312" w:hAnsi="仿宋_GB2312" w:eastAsia="仿宋_GB2312" w:cs="仿宋_GB2312"/>
          <w:b w:val="0"/>
          <w:bCs/>
          <w:color w:val="000000" w:themeColor="text1"/>
          <w:sz w:val="32"/>
          <w:szCs w:val="32"/>
          <w14:textFill>
            <w14:solidFill>
              <w14:schemeClr w14:val="tx1"/>
            </w14:solidFill>
          </w14:textFill>
        </w:rPr>
        <w:t>全年安排因公出国（境）团组0次，出国（境）0人。因公出国（境）支出决算</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与</w:t>
      </w:r>
      <w:r>
        <w:rPr>
          <w:rFonts w:hint="eastAsia" w:ascii="仿宋_GB2312" w:hAnsi="仿宋_GB2312" w:eastAsia="仿宋_GB2312" w:cs="仿宋_GB2312"/>
          <w:b w:val="0"/>
          <w:bCs/>
          <w:color w:val="000000" w:themeColor="text1"/>
          <w:sz w:val="32"/>
          <w:szCs w:val="32"/>
          <w14:textFill>
            <w14:solidFill>
              <w14:schemeClr w14:val="tx1"/>
            </w14:solidFill>
          </w14:textFill>
        </w:rPr>
        <w:t>2022年</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持平</w:t>
      </w:r>
      <w:r>
        <w:rPr>
          <w:rFonts w:hint="eastAsia" w:ascii="仿宋_GB2312" w:hAnsi="仿宋_GB2312" w:eastAsia="仿宋_GB2312" w:cs="仿宋_GB2312"/>
          <w:b w:val="0"/>
          <w:bCs/>
          <w:color w:val="000000" w:themeColor="text1"/>
          <w:sz w:val="32"/>
          <w:szCs w:val="32"/>
          <w14:textFill>
            <w14:solidFill>
              <w14:schemeClr w14:val="tx1"/>
            </w14:solidFill>
          </w14:textFill>
        </w:rPr>
        <w:t>。</w:t>
      </w:r>
    </w:p>
    <w:p>
      <w:pPr>
        <w:spacing w:line="600" w:lineRule="exact"/>
        <w:ind w:firstLine="640"/>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2.公务用车购置及运行维护费支出4.83万元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完成预算98.59%。</w:t>
      </w:r>
      <w:r>
        <w:rPr>
          <w:rFonts w:hint="eastAsia" w:ascii="仿宋_GB2312" w:hAnsi="仿宋_GB2312" w:eastAsia="仿宋_GB2312" w:cs="仿宋_GB2312"/>
          <w:b w:val="0"/>
          <w:bCs/>
          <w:color w:val="000000" w:themeColor="text1"/>
          <w:sz w:val="32"/>
          <w:szCs w:val="32"/>
          <w14:textFill>
            <w14:solidFill>
              <w14:schemeClr w14:val="tx1"/>
            </w14:solidFill>
          </w14:textFill>
        </w:rPr>
        <w:t>公务用车购置及运行维护费支出决算比2022年度</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1.46</w:t>
      </w:r>
      <w:r>
        <w:rPr>
          <w:rFonts w:hint="eastAsia" w:ascii="仿宋_GB2312" w:hAnsi="仿宋_GB2312" w:eastAsia="仿宋_GB2312" w:cs="仿宋_GB2312"/>
          <w:b w:val="0"/>
          <w:bCs/>
          <w:color w:val="000000" w:themeColor="text1"/>
          <w:sz w:val="32"/>
          <w:szCs w:val="32"/>
          <w14:textFill>
            <w14:solidFill>
              <w14:schemeClr w14:val="tx1"/>
            </w14:solidFill>
          </w14:textFill>
        </w:rPr>
        <w:t>万元，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下降</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23.21</w:t>
      </w:r>
      <w:r>
        <w:rPr>
          <w:rFonts w:hint="eastAsia" w:ascii="仿宋_GB2312" w:hAnsi="仿宋_GB2312" w:eastAsia="仿宋_GB2312" w:cs="仿宋_GB2312"/>
          <w:b w:val="0"/>
          <w:bCs/>
          <w:color w:val="000000" w:themeColor="text1"/>
          <w:sz w:val="32"/>
          <w:szCs w:val="32"/>
          <w14:textFill>
            <w14:solidFill>
              <w14:schemeClr w14:val="tx1"/>
            </w14:solidFill>
          </w14:textFill>
        </w:rPr>
        <w:t>%。主要原因是</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厉行节约减少了费用</w:t>
      </w:r>
      <w:r>
        <w:rPr>
          <w:rFonts w:hint="eastAsia" w:ascii="仿宋_GB2312" w:hAnsi="仿宋_GB2312" w:eastAsia="仿宋_GB2312" w:cs="仿宋_GB2312"/>
          <w:b w:val="0"/>
          <w:bCs/>
          <w:color w:val="000000" w:themeColor="text1"/>
          <w:sz w:val="32"/>
          <w:szCs w:val="32"/>
          <w14:textFill>
            <w14:solidFill>
              <w14:schemeClr w14:val="tx1"/>
            </w14:solidFill>
          </w14:textFill>
        </w:rPr>
        <w:t>。</w:t>
      </w:r>
    </w:p>
    <w:p>
      <w:pPr>
        <w:spacing w:line="600" w:lineRule="exact"/>
        <w:ind w:firstLine="640" w:firstLineChars="200"/>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其中：公务用车购置支出0万元。全年按规定更新购置公务用车</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b w:val="0"/>
          <w:bCs/>
          <w:color w:val="000000" w:themeColor="text1"/>
          <w:sz w:val="32"/>
          <w:szCs w:val="32"/>
          <w14:textFill>
            <w14:solidFill>
              <w14:schemeClr w14:val="tx1"/>
            </w14:solidFill>
          </w14:textFill>
        </w:rPr>
        <w:t>辆。截至2023年12月31日，单位共有公务用车</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14:textFill>
            <w14:solidFill>
              <w14:schemeClr w14:val="tx1"/>
            </w14:solidFill>
          </w14:textFill>
        </w:rPr>
        <w:t>辆，其中：越野车</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14:textFill>
            <w14:solidFill>
              <w14:schemeClr w14:val="tx1"/>
            </w14:solidFill>
          </w14:textFill>
        </w:rPr>
        <w:t>辆。</w:t>
      </w:r>
    </w:p>
    <w:p>
      <w:pPr>
        <w:spacing w:line="600" w:lineRule="exact"/>
        <w:ind w:firstLine="640"/>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公务用车运行维护费支出4.83万元。主要用于到省以工代赈办汇报工作、争取项目；规划项目前，到县区乡镇、村组踏勘项目、调研工作；到县区、乡镇、村组进行以工代赈、易地扶贫搬迁项目日常暗访、调研等，不定期到帮扶村进行帮扶等所需的公务用车燃料费、维修费、过路过桥费、保险费等支出。</w:t>
      </w:r>
    </w:p>
    <w:p>
      <w:pPr>
        <w:spacing w:line="600" w:lineRule="exact"/>
        <w:ind w:firstLine="640"/>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3.公务接待费支出0.83万元，</w:t>
      </w:r>
      <w:r>
        <w:rPr>
          <w:rStyle w:val="18"/>
          <w:rFonts w:hint="eastAsia" w:ascii="仿宋_GB2312" w:hAnsi="仿宋_GB2312" w:eastAsia="仿宋_GB2312" w:cs="仿宋_GB2312"/>
          <w:b w:val="0"/>
          <w:bCs/>
          <w:color w:val="000000" w:themeColor="text1"/>
          <w:sz w:val="32"/>
          <w:szCs w:val="32"/>
          <w14:textFill>
            <w14:solidFill>
              <w14:schemeClr w14:val="tx1"/>
            </w14:solidFill>
          </w14:textFill>
        </w:rPr>
        <w:t>完成预算99.63%。</w:t>
      </w:r>
      <w:r>
        <w:rPr>
          <w:rFonts w:hint="eastAsia" w:ascii="仿宋_GB2312" w:hAnsi="仿宋_GB2312" w:eastAsia="仿宋_GB2312" w:cs="仿宋_GB2312"/>
          <w:b w:val="0"/>
          <w:bCs/>
          <w:color w:val="000000" w:themeColor="text1"/>
          <w:sz w:val="32"/>
          <w:szCs w:val="32"/>
          <w14:textFill>
            <w14:solidFill>
              <w14:schemeClr w14:val="tx1"/>
            </w14:solidFill>
          </w14:textFill>
        </w:rPr>
        <w:t>公务接待费支出决算比2022年度减少</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0.47</w:t>
      </w:r>
      <w:r>
        <w:rPr>
          <w:rFonts w:hint="eastAsia" w:ascii="仿宋_GB2312" w:hAnsi="仿宋_GB2312" w:eastAsia="仿宋_GB2312" w:cs="仿宋_GB2312"/>
          <w:b w:val="0"/>
          <w:bCs/>
          <w:color w:val="000000" w:themeColor="text1"/>
          <w:sz w:val="32"/>
          <w:szCs w:val="32"/>
          <w14:textFill>
            <w14:solidFill>
              <w14:schemeClr w14:val="tx1"/>
            </w14:solidFill>
          </w14:textFill>
        </w:rPr>
        <w:t>万元，下降</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36.15</w:t>
      </w:r>
      <w:r>
        <w:rPr>
          <w:rFonts w:hint="eastAsia" w:ascii="仿宋_GB2312" w:hAnsi="仿宋_GB2312" w:eastAsia="仿宋_GB2312" w:cs="仿宋_GB2312"/>
          <w:b w:val="0"/>
          <w:bCs/>
          <w:color w:val="000000" w:themeColor="text1"/>
          <w:sz w:val="32"/>
          <w:szCs w:val="32"/>
          <w14:textFill>
            <w14:solidFill>
              <w14:schemeClr w14:val="tx1"/>
            </w14:solidFill>
          </w14:textFill>
        </w:rPr>
        <w:t>%。主要原因是</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厉行节约减少了费用</w:t>
      </w:r>
      <w:r>
        <w:rPr>
          <w:rFonts w:hint="eastAsia" w:ascii="仿宋_GB2312" w:hAnsi="仿宋_GB2312" w:eastAsia="仿宋_GB2312" w:cs="仿宋_GB2312"/>
          <w:b w:val="0"/>
          <w:bCs/>
          <w:color w:val="000000" w:themeColor="text1"/>
          <w:sz w:val="32"/>
          <w:szCs w:val="32"/>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国内公务接待支出0.83万元，主要用于开展业务活动开支的餐费等。国内公务接待</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13</w:t>
      </w:r>
      <w:r>
        <w:rPr>
          <w:rFonts w:hint="eastAsia" w:ascii="仿宋_GB2312" w:hAnsi="仿宋_GB2312" w:eastAsia="仿宋_GB2312" w:cs="仿宋_GB2312"/>
          <w:b w:val="0"/>
          <w:bCs/>
          <w:color w:val="000000" w:themeColor="text1"/>
          <w:sz w:val="32"/>
          <w:szCs w:val="32"/>
          <w14:textFill>
            <w14:solidFill>
              <w14:schemeClr w14:val="tx1"/>
            </w14:solidFill>
          </w14:textFill>
        </w:rPr>
        <w:t>批次，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85</w:t>
      </w:r>
      <w:r>
        <w:rPr>
          <w:rFonts w:hint="eastAsia" w:ascii="仿宋_GB2312" w:hAnsi="仿宋_GB2312" w:eastAsia="仿宋_GB2312" w:cs="仿宋_GB2312"/>
          <w:b w:val="0"/>
          <w:bCs/>
          <w:color w:val="000000" w:themeColor="text1"/>
          <w:sz w:val="32"/>
          <w:szCs w:val="32"/>
          <w14:textFill>
            <w14:solidFill>
              <w14:schemeClr w14:val="tx1"/>
            </w14:solidFill>
          </w14:textFill>
        </w:rPr>
        <w:t>人次（不包括陪同人员），共计支出</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0.83</w:t>
      </w:r>
      <w:r>
        <w:rPr>
          <w:rFonts w:hint="eastAsia" w:ascii="仿宋_GB2312" w:hAnsi="仿宋_GB2312" w:eastAsia="仿宋_GB2312" w:cs="仿宋_GB2312"/>
          <w:b w:val="0"/>
          <w:bCs/>
          <w:color w:val="000000" w:themeColor="text1"/>
          <w:sz w:val="32"/>
          <w:szCs w:val="32"/>
          <w14:textFill>
            <w14:solidFill>
              <w14:schemeClr w14:val="tx1"/>
            </w14:solidFill>
          </w14:textFill>
        </w:rPr>
        <w:t>万元，具体内容包括：</w:t>
      </w:r>
      <w:r>
        <w:rPr>
          <w:rFonts w:hint="eastAsia" w:ascii="仿宋_GB2312" w:hAnsi="仿宋_GB2312" w:eastAsia="仿宋_GB2312" w:cs="仿宋_GB2312"/>
          <w:b w:val="0"/>
          <w:bCs/>
          <w:color w:val="000000" w:themeColor="text1"/>
          <w:sz w:val="32"/>
          <w:szCs w:val="32"/>
          <w:lang w:val="zh-CN" w:eastAsia="zh-CN"/>
          <w14:textFill>
            <w14:solidFill>
              <w14:schemeClr w14:val="tx1"/>
            </w14:solidFill>
          </w14:textFill>
        </w:rPr>
        <w:t>国、省来广</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检查调研、招商引资、县区、帮扶村来我中心交流汇报工作接待餐费0.83万元。</w:t>
      </w:r>
    </w:p>
    <w:p>
      <w:pPr>
        <w:spacing w:line="600" w:lineRule="exact"/>
        <w:ind w:firstLine="640" w:firstLineChars="200"/>
        <w:rPr>
          <w:rFonts w:ascii="黑体" w:eastAsia="黑体"/>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外事接待支出0万元。</w:t>
      </w:r>
    </w:p>
    <w:p>
      <w:pPr>
        <w:spacing w:line="600" w:lineRule="exact"/>
        <w:ind w:firstLine="640"/>
        <w:outlineLvl w:val="1"/>
        <w:rPr>
          <w:rStyle w:val="31"/>
          <w:rFonts w:ascii="黑体" w:hAnsi="黑体" w:eastAsia="黑体"/>
          <w:color w:val="000000" w:themeColor="text1"/>
          <w14:textFill>
            <w14:solidFill>
              <w14:schemeClr w14:val="tx1"/>
            </w14:solidFill>
          </w14:textFill>
        </w:rPr>
      </w:pPr>
      <w:bookmarkStart w:id="60" w:name="_Toc21554"/>
      <w:r>
        <w:rPr>
          <w:rFonts w:hint="eastAsia" w:ascii="黑体" w:eastAsia="黑体"/>
          <w:color w:val="000000" w:themeColor="text1"/>
          <w:sz w:val="32"/>
          <w:szCs w:val="32"/>
          <w14:textFill>
            <w14:solidFill>
              <w14:schemeClr w14:val="tx1"/>
            </w14:solidFill>
          </w14:textFill>
        </w:rPr>
        <w:t>八、</w:t>
      </w:r>
      <w:r>
        <w:rPr>
          <w:rStyle w:val="31"/>
          <w:rFonts w:hint="eastAsia" w:ascii="黑体" w:hAnsi="黑体" w:eastAsia="黑体"/>
          <w:b w:val="0"/>
          <w:color w:val="000000" w:themeColor="text1"/>
          <w14:textFill>
            <w14:solidFill>
              <w14:schemeClr w14:val="tx1"/>
            </w14:solidFill>
          </w14:textFill>
        </w:rPr>
        <w:t>政府性基金预算支出决算情况说明</w:t>
      </w:r>
      <w:bookmarkEnd w:id="58"/>
      <w:bookmarkEnd w:id="59"/>
      <w:bookmarkEnd w:id="60"/>
    </w:p>
    <w:p>
      <w:pPr>
        <w:spacing w:line="600" w:lineRule="exact"/>
        <w:ind w:firstLine="64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2023年度政府性基金预算财政拨款支出</w:t>
      </w:r>
      <w:r>
        <w:rPr>
          <w:rFonts w:ascii="仿宋" w:hAnsi="仿宋" w:eastAsia="仿宋"/>
          <w:b/>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p>
    <w:p>
      <w:pPr>
        <w:numPr>
          <w:ilvl w:val="0"/>
          <w:numId w:val="2"/>
        </w:numPr>
        <w:spacing w:line="600" w:lineRule="exact"/>
        <w:ind w:firstLine="640"/>
        <w:outlineLvl w:val="1"/>
        <w:rPr>
          <w:rStyle w:val="31"/>
          <w:rFonts w:ascii="黑体" w:hAnsi="黑体" w:eastAsia="黑体"/>
          <w:b w:val="0"/>
          <w:color w:val="000000" w:themeColor="text1"/>
          <w14:textFill>
            <w14:solidFill>
              <w14:schemeClr w14:val="tx1"/>
            </w14:solidFill>
          </w14:textFill>
        </w:rPr>
      </w:pPr>
      <w:bookmarkStart w:id="61" w:name="_Toc15086"/>
      <w:bookmarkStart w:id="62" w:name="_Toc15396611"/>
      <w:bookmarkStart w:id="63" w:name="_Toc15377219"/>
      <w:r>
        <w:rPr>
          <w:rStyle w:val="31"/>
          <w:rFonts w:hint="eastAsia" w:ascii="黑体" w:hAnsi="黑体" w:eastAsia="黑体"/>
          <w:b w:val="0"/>
          <w:color w:val="000000" w:themeColor="text1"/>
          <w14:textFill>
            <w14:solidFill>
              <w14:schemeClr w14:val="tx1"/>
            </w14:solidFill>
          </w14:textFill>
        </w:rPr>
        <w:t>国有资本经营预算支出决算情况说明</w:t>
      </w:r>
      <w:bookmarkEnd w:id="61"/>
      <w:bookmarkEnd w:id="62"/>
      <w:bookmarkEnd w:id="63"/>
    </w:p>
    <w:p>
      <w:pPr>
        <w:spacing w:line="600" w:lineRule="exact"/>
        <w:ind w:firstLine="640"/>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2023年度国有资本经营预算财政拨款支出</w:t>
      </w:r>
      <w:r>
        <w:rPr>
          <w:rFonts w:ascii="仿宋" w:hAnsi="仿宋" w:eastAsia="仿宋"/>
          <w:b/>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p>
    <w:p>
      <w:pPr>
        <w:numPr>
          <w:ilvl w:val="0"/>
          <w:numId w:val="2"/>
        </w:numPr>
        <w:spacing w:line="600" w:lineRule="exact"/>
        <w:ind w:firstLine="640"/>
        <w:outlineLvl w:val="1"/>
        <w:rPr>
          <w:rStyle w:val="31"/>
          <w:rFonts w:ascii="黑体" w:hAnsi="黑体" w:eastAsia="黑体"/>
          <w:b w:val="0"/>
          <w:color w:val="000000" w:themeColor="text1"/>
          <w14:textFill>
            <w14:solidFill>
              <w14:schemeClr w14:val="tx1"/>
            </w14:solidFill>
          </w14:textFill>
        </w:rPr>
      </w:pPr>
      <w:bookmarkStart w:id="64" w:name="_Toc15396612"/>
      <w:bookmarkStart w:id="65" w:name="_Toc7660"/>
      <w:bookmarkStart w:id="66" w:name="_Toc15377221"/>
      <w:r>
        <w:rPr>
          <w:rStyle w:val="31"/>
          <w:rFonts w:hint="eastAsia" w:ascii="黑体" w:hAnsi="黑体" w:eastAsia="黑体"/>
          <w:b w:val="0"/>
          <w:color w:val="000000" w:themeColor="text1"/>
          <w14:textFill>
            <w14:solidFill>
              <w14:schemeClr w14:val="tx1"/>
            </w14:solidFill>
          </w14:textFill>
        </w:rPr>
        <w:t>其他重要事项的情况说明</w:t>
      </w:r>
      <w:bookmarkEnd w:id="64"/>
      <w:bookmarkEnd w:id="65"/>
      <w:bookmarkEnd w:id="66"/>
    </w:p>
    <w:p>
      <w:pPr>
        <w:spacing w:line="600" w:lineRule="exact"/>
        <w:ind w:firstLine="640" w:firstLineChars="200"/>
        <w:outlineLvl w:val="2"/>
        <w:rPr>
          <w:rFonts w:hint="eastAsia" w:ascii="楷体_GB2312" w:hAnsi="楷体_GB2312" w:eastAsia="楷体_GB2312" w:cs="楷体_GB2312"/>
          <w:b w:val="0"/>
          <w:bCs/>
          <w:color w:val="000000" w:themeColor="text1"/>
          <w:sz w:val="32"/>
          <w:szCs w:val="32"/>
          <w14:textFill>
            <w14:solidFill>
              <w14:schemeClr w14:val="tx1"/>
            </w14:solidFill>
          </w14:textFill>
        </w:rPr>
      </w:pPr>
      <w:bookmarkStart w:id="67" w:name="_Toc15377222"/>
      <w:r>
        <w:rPr>
          <w:rFonts w:hint="eastAsia" w:ascii="楷体_GB2312" w:hAnsi="楷体_GB2312" w:eastAsia="楷体_GB2312" w:cs="楷体_GB2312"/>
          <w:b w:val="0"/>
          <w:bCs/>
          <w:color w:val="000000" w:themeColor="text1"/>
          <w:sz w:val="32"/>
          <w:szCs w:val="32"/>
          <w14:textFill>
            <w14:solidFill>
              <w14:schemeClr w14:val="tx1"/>
            </w14:solidFill>
          </w14:textFill>
        </w:rPr>
        <w:t>（一）机关运行经费支出情况</w:t>
      </w:r>
      <w:bookmarkEnd w:id="67"/>
    </w:p>
    <w:p>
      <w:pPr>
        <w:spacing w:line="600" w:lineRule="exact"/>
        <w:ind w:firstLine="640" w:firstLineChars="2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2023年度，广元市以工代赈事务中心机关运行经费支出24.66万元，比2022年度减少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4.77</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万元，下降</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16.21</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%。主要原因是</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在职人员减少，减少了机关运行费用</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spacing w:line="600" w:lineRule="exact"/>
        <w:ind w:firstLine="640" w:firstLineChars="200"/>
        <w:outlineLvl w:val="2"/>
        <w:rPr>
          <w:rFonts w:hint="eastAsia" w:ascii="楷体_GB2312" w:hAnsi="楷体_GB2312" w:eastAsia="楷体_GB2312" w:cs="楷体_GB2312"/>
          <w:b w:val="0"/>
          <w:bCs/>
          <w:color w:val="000000" w:themeColor="text1"/>
          <w:sz w:val="32"/>
          <w:szCs w:val="32"/>
          <w14:textFill>
            <w14:solidFill>
              <w14:schemeClr w14:val="tx1"/>
            </w14:solidFill>
          </w14:textFill>
        </w:rPr>
      </w:pPr>
      <w:bookmarkStart w:id="68" w:name="_Toc15377223"/>
      <w:r>
        <w:rPr>
          <w:rFonts w:hint="eastAsia" w:ascii="楷体_GB2312" w:hAnsi="楷体_GB2312" w:eastAsia="楷体_GB2312" w:cs="楷体_GB2312"/>
          <w:b w:val="0"/>
          <w:bCs/>
          <w:color w:val="000000" w:themeColor="text1"/>
          <w:sz w:val="32"/>
          <w:szCs w:val="32"/>
          <w14:textFill>
            <w14:solidFill>
              <w14:schemeClr w14:val="tx1"/>
            </w14:solidFill>
          </w14:textFill>
        </w:rPr>
        <w:t>（二）政府采购支出情况</w:t>
      </w:r>
      <w:bookmarkEnd w:id="68"/>
    </w:p>
    <w:p>
      <w:pPr>
        <w:spacing w:line="600" w:lineRule="exact"/>
        <w:ind w:firstLine="640" w:firstLineChars="2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2023年度，广元市以工代赈事务中心政府采购支出总额</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0.29</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万元，其中：政府采购货物支出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0.29</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万元。授予中小企业合同金额0万元，占政府采购支出总额的0%，其中：授予小微企业合同金额</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0.29</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万元，占政府采购支出总额的</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spacing w:line="600" w:lineRule="exact"/>
        <w:ind w:firstLine="640" w:firstLineChars="200"/>
        <w:outlineLvl w:val="2"/>
        <w:rPr>
          <w:rFonts w:hint="eastAsia" w:ascii="楷体_GB2312" w:hAnsi="楷体_GB2312" w:eastAsia="楷体_GB2312" w:cs="楷体_GB2312"/>
          <w:b w:val="0"/>
          <w:bCs/>
          <w:color w:val="000000" w:themeColor="text1"/>
          <w:sz w:val="32"/>
          <w:szCs w:val="32"/>
          <w14:textFill>
            <w14:solidFill>
              <w14:schemeClr w14:val="tx1"/>
            </w14:solidFill>
          </w14:textFill>
        </w:rPr>
      </w:pPr>
      <w:bookmarkStart w:id="69" w:name="_Toc15377224"/>
      <w:r>
        <w:rPr>
          <w:rFonts w:hint="eastAsia" w:ascii="楷体_GB2312" w:hAnsi="楷体_GB2312" w:eastAsia="楷体_GB2312" w:cs="楷体_GB2312"/>
          <w:b w:val="0"/>
          <w:bCs/>
          <w:color w:val="000000" w:themeColor="text1"/>
          <w:sz w:val="32"/>
          <w:szCs w:val="32"/>
          <w14:textFill>
            <w14:solidFill>
              <w14:schemeClr w14:val="tx1"/>
            </w14:solidFill>
          </w14:textFill>
        </w:rPr>
        <w:t>（三）国有资产占有使用情况</w:t>
      </w:r>
      <w:bookmarkEnd w:id="69"/>
    </w:p>
    <w:p>
      <w:pPr>
        <w:spacing w:line="600" w:lineRule="exact"/>
        <w:ind w:firstLine="640" w:firstLineChars="2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截至2023年12月31日，广元市以工代赈事务中心共有车辆1辆，其中：其他用车</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辆，其他用车主要是用于以工代赈和易地扶贫搬迁后续扶持项目争取、项目督导等工作。单价100万元以上设备（不含车辆）0台（套）。</w:t>
      </w:r>
    </w:p>
    <w:p>
      <w:pPr>
        <w:spacing w:line="600" w:lineRule="exact"/>
        <w:ind w:firstLine="640" w:firstLineChars="200"/>
        <w:outlineLvl w:val="2"/>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（四）预算绩效管理情况</w:t>
      </w:r>
    </w:p>
    <w:p>
      <w:pPr>
        <w:spacing w:line="58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根据预算绩效管理要求，本部门在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预算编制阶段，组织对以工代赈项目管理工作经费、档案室设备采购项目经费、易地搬迁后续扶持及消费帮扶工作经费、乡村振兴工作专项经费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争取项目资金工作经费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、全国以工代赈现场会工作经费、易地扶贫搬迁后续扶持工作及时奖励资金等</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7个项目</w:t>
      </w:r>
      <w:r>
        <w:rPr>
          <w:rFonts w:hint="eastAsia" w:ascii="仿宋_GB2312" w:hAnsi="仿宋_GB2312" w:eastAsia="仿宋_GB2312" w:cs="仿宋_GB2312"/>
          <w:color w:val="000000" w:themeColor="text1"/>
          <w:sz w:val="32"/>
          <w:szCs w:val="32"/>
          <w:highlight w:val="none"/>
          <w14:textFill>
            <w14:solidFill>
              <w14:schemeClr w14:val="tx1"/>
            </w14:solidFill>
          </w14:textFill>
        </w:rPr>
        <w:t>开展了预算事前绩效评估，对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14:textFill>
            <w14:solidFill>
              <w14:schemeClr w14:val="tx1"/>
            </w14:solidFill>
          </w14:textFill>
        </w:rPr>
        <w:t>个项目编制了绩效目标，预算执行过程中，选取</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14:textFill>
            <w14:solidFill>
              <w14:schemeClr w14:val="tx1"/>
            </w14:solidFill>
          </w14:textFill>
        </w:rPr>
        <w:t>个项目开展绩效监控</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80" w:lineRule="exact"/>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组织</w:t>
      </w:r>
      <w:r>
        <w:rPr>
          <w:rFonts w:hint="eastAsia" w:ascii="仿宋_GB2312" w:hAnsi="仿宋_GB2312" w:eastAsia="仿宋_GB2312" w:cs="仿宋_GB2312"/>
          <w:color w:val="000000" w:themeColor="text1"/>
          <w:sz w:val="32"/>
          <w:szCs w:val="32"/>
          <w:highlight w:val="none"/>
          <w14:textFill>
            <w14:solidFill>
              <w14:schemeClr w14:val="tx1"/>
            </w14:solidFill>
          </w14:textFill>
        </w:rPr>
        <w:t>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2023年度一般公共预算全面开展绩效自评，形成市以工代赈事务中心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部门整体（含部门预算项目）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绩效自评报告</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，全国以工代赈现场会工作经费、易地扶贫搬迁后续扶持工作及时奖励资金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等2个</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专项预算项目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绩效自评报告，其中，市以工代赈事务中心部门整体</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（含部门预算项目）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绩效自评得分为95.38分，绩效自评综述：市以工代赈事务中心坚定以习近平新时代中国特色社会主义思想和习近平总书记来川来广视察重要指示精神为指导，认真落实省委省政府和市委市政府的各项决策部署，深入实施“1345”发展战略，紧紧围绕以工代赈“1235”工作思路，充分发挥以工代赈政策功能，全面完成2023年</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部门绩效目标任务</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全国以工代赈现场会工作经费专项预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算项目绩效自评得分为100分，绩效自评综述：</w:t>
      </w:r>
      <w:r>
        <w:rPr>
          <w:rFonts w:hint="eastAsia" w:ascii="仿宋_GB2312" w:hAnsi="仿宋_GB2312" w:eastAsia="仿宋_GB2312" w:cs="仿宋_GB2312"/>
          <w:color w:val="000000" w:themeColor="text1"/>
          <w:sz w:val="32"/>
          <w:szCs w:val="32"/>
          <w:highlight w:val="none"/>
          <w14:textFill>
            <w14:solidFill>
              <w14:schemeClr w14:val="tx1"/>
            </w14:solidFill>
          </w14:textFill>
        </w:rPr>
        <w:t>该项目预算执行进度好，通过项目的实施，进一步扩大了广元以工代赈工作的影响力，有效促进广元经济社会发展，为持续巩固拓展脱贫攻坚成果，有效衔接乡村振兴提供了坚强的保障</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圆满完成</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了</w:t>
      </w:r>
      <w:r>
        <w:rPr>
          <w:rFonts w:hint="eastAsia" w:ascii="仿宋_GB2312" w:hAnsi="仿宋_GB2312" w:eastAsia="仿宋_GB2312" w:cs="仿宋_GB2312"/>
          <w:color w:val="000000" w:themeColor="text1"/>
          <w:sz w:val="32"/>
          <w:szCs w:val="32"/>
          <w:highlight w:val="none"/>
          <w14:textFill>
            <w14:solidFill>
              <w14:schemeClr w14:val="tx1"/>
            </w14:solidFill>
          </w14:textFill>
        </w:rPr>
        <w:t>年度目标任务。</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易地扶贫搬迁后续扶持工作及时奖励资金专项预算项目绩效自评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100分，绩效自评综述：通过项目的实施，进一步激发了干部职工的工作热情，促进工作更好地开展。绩效自评报告详见附件。</w:t>
      </w:r>
    </w:p>
    <w:p>
      <w:pPr>
        <w:pStyle w:val="5"/>
        <w:rPr>
          <w:rFonts w:hint="eastAsia" w:ascii="仿宋_GB2312" w:hAnsi="仿宋_GB2312" w:eastAsia="仿宋_GB2312" w:cs="仿宋_GB2312"/>
          <w:b w:val="0"/>
          <w:bCs w:val="0"/>
          <w:color w:val="000000" w:themeColor="text1"/>
          <w:sz w:val="32"/>
          <w:szCs w:val="32"/>
          <w14:textFill>
            <w14:solidFill>
              <w14:schemeClr w14:val="tx1"/>
            </w14:solidFill>
          </w14:textFill>
        </w:rPr>
      </w:pPr>
    </w:p>
    <w:p>
      <w:pPr>
        <w:rPr>
          <w:rStyle w:val="30"/>
          <w:rFonts w:ascii="黑体" w:hAnsi="黑体" w:eastAsia="黑体"/>
          <w:b w:val="0"/>
          <w:color w:val="000000" w:themeColor="text1"/>
          <w14:textFill>
            <w14:solidFill>
              <w14:schemeClr w14:val="tx1"/>
            </w14:solidFill>
          </w14:textFill>
        </w:rPr>
      </w:pPr>
      <w:bookmarkStart w:id="70" w:name="_Toc15396613"/>
      <w:bookmarkStart w:id="71" w:name="_Toc15377225"/>
      <w:r>
        <w:rPr>
          <w:rFonts w:hint="eastAsia" w:ascii="黑体" w:hAnsi="黑体" w:eastAsia="黑体"/>
          <w:color w:val="000000" w:themeColor="text1"/>
          <w:sz w:val="44"/>
          <w:szCs w:val="44"/>
          <w14:textFill>
            <w14:solidFill>
              <w14:schemeClr w14:val="tx1"/>
            </w14:solidFill>
          </w14:textFill>
        </w:rPr>
        <w:br w:type="page"/>
      </w:r>
    </w:p>
    <w:p>
      <w:pPr>
        <w:numPr>
          <w:ilvl w:val="0"/>
          <w:numId w:val="3"/>
        </w:numPr>
        <w:spacing w:line="600" w:lineRule="exact"/>
        <w:ind w:firstLine="660" w:firstLineChars="150"/>
        <w:jc w:val="center"/>
        <w:outlineLvl w:val="0"/>
        <w:rPr>
          <w:rStyle w:val="30"/>
          <w:rFonts w:ascii="黑体" w:hAnsi="黑体" w:eastAsia="黑体"/>
          <w:b w:val="0"/>
          <w:color w:val="000000" w:themeColor="text1"/>
          <w14:textFill>
            <w14:solidFill>
              <w14:schemeClr w14:val="tx1"/>
            </w14:solidFill>
          </w14:textFill>
        </w:rPr>
      </w:pPr>
      <w:bookmarkStart w:id="72" w:name="_Toc16523"/>
      <w:r>
        <w:rPr>
          <w:rFonts w:hint="eastAsia" w:ascii="黑体" w:hAnsi="黑体" w:eastAsia="黑体"/>
          <w:color w:val="000000" w:themeColor="text1"/>
          <w:sz w:val="44"/>
          <w:szCs w:val="44"/>
          <w14:textFill>
            <w14:solidFill>
              <w14:schemeClr w14:val="tx1"/>
            </w14:solidFill>
          </w14:textFill>
        </w:rPr>
        <w:t>名</w:t>
      </w:r>
      <w:r>
        <w:rPr>
          <w:rStyle w:val="30"/>
          <w:rFonts w:hint="eastAsia" w:ascii="黑体" w:hAnsi="黑体" w:eastAsia="黑体"/>
          <w:b w:val="0"/>
          <w:color w:val="000000" w:themeColor="text1"/>
          <w14:textFill>
            <w14:solidFill>
              <w14:schemeClr w14:val="tx1"/>
            </w14:solidFill>
          </w14:textFill>
        </w:rPr>
        <w:t>词解释</w:t>
      </w:r>
      <w:bookmarkEnd w:id="70"/>
      <w:bookmarkEnd w:id="71"/>
      <w:bookmarkEnd w:id="72"/>
    </w:p>
    <w:p>
      <w:pPr>
        <w:spacing w:line="600" w:lineRule="exact"/>
        <w:jc w:val="left"/>
        <w:rPr>
          <w:rFonts w:ascii="宋体"/>
          <w:b/>
          <w:color w:val="000000" w:themeColor="text1"/>
          <w:sz w:val="44"/>
          <w:szCs w:val="44"/>
          <w14:textFill>
            <w14:solidFill>
              <w14:schemeClr w14:val="tx1"/>
            </w14:solidFill>
          </w14:textFill>
        </w:rPr>
      </w:pPr>
    </w:p>
    <w:p>
      <w:pPr>
        <w:pStyle w:val="28"/>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财政拨款收入：指单位从同级财政部门取得的财政预算资金。</w:t>
      </w:r>
    </w:p>
    <w:p>
      <w:pPr>
        <w:pStyle w:val="28"/>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.年末结转和结余：指单位按有关规定结转到下年或以后年度继续使用的资金。</w:t>
      </w:r>
    </w:p>
    <w:p>
      <w:pPr>
        <w:pStyle w:val="28"/>
        <w:spacing w:line="56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.一般公共服务</w:t>
      </w:r>
      <w:r>
        <w:rPr>
          <w:rFonts w:hint="eastAsia" w:ascii="仿宋_GB2312" w:eastAsia="仿宋_GB2312"/>
          <w:color w:val="000000" w:themeColor="text1"/>
          <w:sz w:val="32"/>
          <w:szCs w:val="32"/>
          <w:lang w:eastAsia="zh-CN"/>
          <w14:textFill>
            <w14:solidFill>
              <w14:schemeClr w14:val="tx1"/>
            </w14:solidFill>
          </w14:textFill>
        </w:rPr>
        <w:t>支出</w:t>
      </w:r>
      <w:r>
        <w:rPr>
          <w:rFonts w:hint="eastAsia" w:ascii="仿宋_GB2312" w:eastAsia="仿宋_GB2312"/>
          <w:color w:val="000000" w:themeColor="text1"/>
          <w:sz w:val="32"/>
          <w:szCs w:val="32"/>
          <w14:textFill>
            <w14:solidFill>
              <w14:schemeClr w14:val="tx1"/>
            </w14:solidFill>
          </w14:textFill>
        </w:rPr>
        <w:t>（类）政府办公厅（室）及相关机构事务（款）其他政府办公厅（室）及相关机构事务支出（项）</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指反映除上述项目以外的其他政府办公厅（室）及相关机构事务支出。</w:t>
      </w:r>
    </w:p>
    <w:p>
      <w:pPr>
        <w:pStyle w:val="28"/>
        <w:spacing w:line="560" w:lineRule="exact"/>
        <w:ind w:firstLine="640" w:firstLineChars="200"/>
        <w:rPr>
          <w:rFonts w:hint="eastAsia" w:ascii="仿宋_GB2312" w:eastAsia="仿宋_GB2312"/>
          <w:b w:val="0"/>
          <w:bCs w:val="0"/>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.社会保障和就业</w:t>
      </w:r>
      <w:r>
        <w:rPr>
          <w:rFonts w:hint="eastAsia" w:ascii="仿宋_GB2312" w:eastAsia="仿宋_GB2312"/>
          <w:color w:val="000000" w:themeColor="text1"/>
          <w:sz w:val="32"/>
          <w:szCs w:val="32"/>
          <w:lang w:eastAsia="zh-CN"/>
          <w14:textFill>
            <w14:solidFill>
              <w14:schemeClr w14:val="tx1"/>
            </w14:solidFill>
          </w14:textFill>
        </w:rPr>
        <w:t>支出</w:t>
      </w:r>
      <w:r>
        <w:rPr>
          <w:rFonts w:hint="eastAsia" w:ascii="仿宋_GB2312" w:eastAsia="仿宋_GB2312"/>
          <w:color w:val="000000" w:themeColor="text1"/>
          <w:sz w:val="32"/>
          <w:szCs w:val="32"/>
          <w14:textFill>
            <w14:solidFill>
              <w14:schemeClr w14:val="tx1"/>
            </w14:solidFill>
          </w14:textFill>
        </w:rPr>
        <w:t>（类）行政事业单位养老支出（款）机关事业单位基本养老保险缴费支出（项）</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b w:val="0"/>
          <w:bCs w:val="0"/>
          <w:color w:val="000000" w:themeColor="text1"/>
          <w:sz w:val="32"/>
          <w:szCs w:val="32"/>
          <w14:textFill>
            <w14:solidFill>
              <w14:schemeClr w14:val="tx1"/>
            </w14:solidFill>
          </w14:textFill>
        </w:rPr>
        <w:t>指反映机关事业单位实施养老保险制度由单位缴纳的基本养老保险费支出。</w:t>
      </w:r>
    </w:p>
    <w:p>
      <w:pPr>
        <w:pStyle w:val="28"/>
        <w:spacing w:line="560" w:lineRule="exact"/>
        <w:ind w:firstLine="640" w:firstLineChars="200"/>
        <w:rPr>
          <w:rFonts w:hint="eastAsia" w:ascii="仿宋_GB2312" w:eastAsia="仿宋_GB2312"/>
          <w:b w:val="0"/>
          <w:bCs w:val="0"/>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.社会保障和就业</w:t>
      </w:r>
      <w:r>
        <w:rPr>
          <w:rFonts w:hint="eastAsia" w:ascii="仿宋_GB2312" w:eastAsia="仿宋_GB2312"/>
          <w:color w:val="000000" w:themeColor="text1"/>
          <w:sz w:val="32"/>
          <w:szCs w:val="32"/>
          <w:lang w:eastAsia="zh-CN"/>
          <w14:textFill>
            <w14:solidFill>
              <w14:schemeClr w14:val="tx1"/>
            </w14:solidFill>
          </w14:textFill>
        </w:rPr>
        <w:t>支出</w:t>
      </w:r>
      <w:r>
        <w:rPr>
          <w:rFonts w:hint="eastAsia" w:ascii="仿宋_GB2312" w:eastAsia="仿宋_GB2312"/>
          <w:color w:val="000000" w:themeColor="text1"/>
          <w:sz w:val="32"/>
          <w:szCs w:val="32"/>
          <w14:textFill>
            <w14:solidFill>
              <w14:schemeClr w14:val="tx1"/>
            </w14:solidFill>
          </w14:textFill>
        </w:rPr>
        <w:t>（类）其他社会保障和就业支出（款）其他社会保障和就业支出（项）</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b w:val="0"/>
          <w:bCs w:val="0"/>
          <w:color w:val="000000" w:themeColor="text1"/>
          <w:sz w:val="32"/>
          <w:szCs w:val="32"/>
          <w14:textFill>
            <w14:solidFill>
              <w14:schemeClr w14:val="tx1"/>
            </w14:solidFill>
          </w14:textFill>
        </w:rPr>
        <w:t>指反映机关事业单位实施</w:t>
      </w:r>
      <w:r>
        <w:rPr>
          <w:rFonts w:hint="eastAsia" w:ascii="仿宋_GB2312" w:eastAsia="仿宋_GB2312"/>
          <w:b w:val="0"/>
          <w:bCs w:val="0"/>
          <w:color w:val="000000" w:themeColor="text1"/>
          <w:sz w:val="32"/>
          <w:szCs w:val="32"/>
          <w:lang w:eastAsia="zh-CN"/>
          <w14:textFill>
            <w14:solidFill>
              <w14:schemeClr w14:val="tx1"/>
            </w14:solidFill>
          </w14:textFill>
        </w:rPr>
        <w:t>失业、工伤</w:t>
      </w:r>
      <w:r>
        <w:rPr>
          <w:rFonts w:hint="eastAsia" w:ascii="仿宋_GB2312" w:eastAsia="仿宋_GB2312"/>
          <w:b w:val="0"/>
          <w:bCs w:val="0"/>
          <w:color w:val="000000" w:themeColor="text1"/>
          <w:sz w:val="32"/>
          <w:szCs w:val="32"/>
          <w14:textFill>
            <w14:solidFill>
              <w14:schemeClr w14:val="tx1"/>
            </w14:solidFill>
          </w14:textFill>
        </w:rPr>
        <w:t>保险制度由单位缴纳的</w:t>
      </w:r>
      <w:r>
        <w:rPr>
          <w:rFonts w:hint="eastAsia" w:ascii="仿宋_GB2312" w:eastAsia="仿宋_GB2312"/>
          <w:b w:val="0"/>
          <w:bCs w:val="0"/>
          <w:color w:val="000000" w:themeColor="text1"/>
          <w:sz w:val="32"/>
          <w:szCs w:val="32"/>
          <w:lang w:eastAsia="zh-CN"/>
          <w14:textFill>
            <w14:solidFill>
              <w14:schemeClr w14:val="tx1"/>
            </w14:solidFill>
          </w14:textFill>
        </w:rPr>
        <w:t>失业及工伤</w:t>
      </w:r>
      <w:r>
        <w:rPr>
          <w:rFonts w:hint="eastAsia" w:ascii="仿宋_GB2312" w:eastAsia="仿宋_GB2312"/>
          <w:b w:val="0"/>
          <w:bCs w:val="0"/>
          <w:color w:val="000000" w:themeColor="text1"/>
          <w:sz w:val="32"/>
          <w:szCs w:val="32"/>
          <w14:textFill>
            <w14:solidFill>
              <w14:schemeClr w14:val="tx1"/>
            </w14:solidFill>
          </w14:textFill>
        </w:rPr>
        <w:t>保险费支出。</w:t>
      </w:r>
    </w:p>
    <w:p>
      <w:pPr>
        <w:pStyle w:val="28"/>
        <w:spacing w:line="56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.卫生健康</w:t>
      </w:r>
      <w:r>
        <w:rPr>
          <w:rFonts w:hint="eastAsia" w:ascii="仿宋_GB2312" w:eastAsia="仿宋_GB2312"/>
          <w:color w:val="000000" w:themeColor="text1"/>
          <w:sz w:val="32"/>
          <w:szCs w:val="32"/>
          <w:lang w:eastAsia="zh-CN"/>
          <w14:textFill>
            <w14:solidFill>
              <w14:schemeClr w14:val="tx1"/>
            </w14:solidFill>
          </w14:textFill>
        </w:rPr>
        <w:t>支出</w:t>
      </w:r>
      <w:r>
        <w:rPr>
          <w:rFonts w:hint="eastAsia" w:ascii="仿宋_GB2312" w:eastAsia="仿宋_GB2312"/>
          <w:color w:val="000000" w:themeColor="text1"/>
          <w:sz w:val="32"/>
          <w:szCs w:val="32"/>
          <w14:textFill>
            <w14:solidFill>
              <w14:schemeClr w14:val="tx1"/>
            </w14:solidFill>
          </w14:textFill>
        </w:rPr>
        <w:t>（类）行政事业单位医疗（款）行政单位医疗（项）</w:t>
      </w:r>
      <w:r>
        <w:rPr>
          <w:rFonts w:hint="eastAsia" w:ascii="仿宋_GB2312" w:eastAsia="仿宋_GB2312"/>
          <w:color w:val="000000" w:themeColor="text1"/>
          <w:sz w:val="32"/>
          <w:szCs w:val="32"/>
          <w:lang w:eastAsia="zh-CN"/>
          <w14:textFill>
            <w14:solidFill>
              <w14:schemeClr w14:val="tx1"/>
            </w14:solidFill>
          </w14:textFill>
        </w:rPr>
        <w:t>：</w:t>
      </w:r>
      <w:r>
        <w:rPr>
          <w:rStyle w:val="18"/>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指反映财政部门安排的行政单位（包括实行公务员管理的事业单位，下同）基本医疗保险缴费经费，未参加医疗保险的行政单位的公费医疗经费，按国家规定享受离休人员、红军老战士待遇人员的医疗经费。</w:t>
      </w:r>
    </w:p>
    <w:p>
      <w:pPr>
        <w:pStyle w:val="28"/>
        <w:spacing w:line="56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.住房保障支出（类）住房改革支出（款）住房公积金（项）</w:t>
      </w:r>
      <w:r>
        <w:rPr>
          <w:rFonts w:hint="eastAsia" w:ascii="仿宋_GB2312" w:eastAsia="仿宋_GB2312"/>
          <w:color w:val="000000" w:themeColor="text1"/>
          <w:sz w:val="32"/>
          <w:szCs w:val="32"/>
          <w:lang w:eastAsia="zh-CN"/>
          <w14:textFill>
            <w14:solidFill>
              <w14:schemeClr w14:val="tx1"/>
            </w14:solidFill>
          </w14:textFill>
        </w:rPr>
        <w:t>：反映行政事业单位按人力资源和社会保障部、财政部规定的基本工资和津贴补贴以及规定比例为职工缴纳的住房公积金。</w:t>
      </w:r>
    </w:p>
    <w:p>
      <w:pPr>
        <w:pStyle w:val="28"/>
        <w:spacing w:line="56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.基本支出：指为保障机构正常运转、完成日常工作任务而发生的人员支出和公用支出。</w:t>
      </w:r>
    </w:p>
    <w:p>
      <w:pPr>
        <w:pStyle w:val="28"/>
        <w:spacing w:line="56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 xml:space="preserve">.项目支出：指在基本支出之外为完成特定行政任务和事业发展目标所发生的支出。 </w:t>
      </w:r>
    </w:p>
    <w:p>
      <w:pPr>
        <w:pStyle w:val="28"/>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0.“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0"/>
          <w:rFonts w:ascii="黑体" w:hAnsi="黑体" w:eastAsia="黑体"/>
          <w:b w:val="0"/>
          <w:color w:val="000000" w:themeColor="text1"/>
          <w:highlight w:val="yellow"/>
          <w14:textFill>
            <w14:solidFill>
              <w14:schemeClr w14:val="tx1"/>
            </w14:solidFill>
          </w14:textFill>
        </w:rPr>
      </w:pPr>
      <w:bookmarkStart w:id="73" w:name="_Toc15377226"/>
      <w:r>
        <w:rPr>
          <w:rFonts w:ascii="宋体"/>
          <w:b/>
          <w:color w:val="000000" w:themeColor="text1"/>
          <w:sz w:val="44"/>
          <w:szCs w:val="44"/>
          <w14:textFill>
            <w14:solidFill>
              <w14:schemeClr w14:val="tx1"/>
            </w14:solidFill>
          </w14:textFill>
        </w:rPr>
        <w:br w:type="page"/>
      </w:r>
      <w:bookmarkStart w:id="74" w:name="_Toc598"/>
      <w:bookmarkStart w:id="75" w:name="_Toc15396614"/>
      <w:r>
        <w:rPr>
          <w:rFonts w:hint="eastAsia" w:eastAsia="方正小标宋简体" w:cs="Times New Roman"/>
          <w:b w:val="0"/>
          <w:bCs/>
          <w:color w:val="000000" w:themeColor="text1"/>
          <w:sz w:val="44"/>
          <w:szCs w:val="44"/>
          <w:highlight w:val="none"/>
          <w:shd w:val="clear" w:color="auto" w:fill="FFFFFF"/>
          <w:lang w:eastAsia="zh-CN"/>
          <w14:textFill>
            <w14:solidFill>
              <w14:schemeClr w14:val="tx1"/>
            </w14:solidFill>
          </w14:textFill>
        </w:rPr>
        <w:t>第四部分 附件</w:t>
      </w:r>
      <w:bookmarkEnd w:id="74"/>
      <w:bookmarkEnd w:id="75"/>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黑体" w:hAnsi="黑体" w:eastAsia="黑体" w:cs="黑体"/>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方正小标宋简体" w:hAnsi="方正小标宋简体" w:eastAsia="黑体" w:cs="方正小标宋简体"/>
          <w:color w:val="000000" w:themeColor="text1"/>
          <w:sz w:val="44"/>
          <w:szCs w:val="44"/>
          <w:highlight w:val="none"/>
          <w:lang w:val="en-US" w:eastAsia="zh-CN"/>
          <w14:textFill>
            <w14:solidFill>
              <w14:schemeClr w14:val="tx1"/>
            </w14:solidFill>
          </w14:textFill>
        </w:rPr>
      </w:pPr>
      <w:bookmarkStart w:id="76" w:name="_Toc23215"/>
      <w:r>
        <w:rPr>
          <w:rFonts w:hint="eastAsia" w:ascii="黑体" w:hAnsi="黑体" w:eastAsia="黑体" w:cs="黑体"/>
          <w:color w:val="000000" w:themeColor="text1"/>
          <w:sz w:val="32"/>
          <w:szCs w:val="32"/>
          <w:highlight w:val="none"/>
          <w14:textFill>
            <w14:solidFill>
              <w14:schemeClr w14:val="tx1"/>
            </w14:solidFill>
          </w14:textFill>
        </w:rPr>
        <w:t>附件</w:t>
      </w:r>
      <w:r>
        <w:rPr>
          <w:rFonts w:hint="eastAsia" w:ascii="黑体" w:hAnsi="黑体" w:eastAsia="黑体" w:cs="黑体"/>
          <w:color w:val="000000" w:themeColor="text1"/>
          <w:sz w:val="32"/>
          <w:szCs w:val="32"/>
          <w:highlight w:val="none"/>
          <w:lang w:val="en-US" w:eastAsia="zh-CN"/>
          <w14:textFill>
            <w14:solidFill>
              <w14:schemeClr w14:val="tx1"/>
            </w14:solidFill>
          </w14:textFill>
        </w:rPr>
        <w:t>1</w:t>
      </w:r>
      <w:bookmarkEnd w:id="76"/>
    </w:p>
    <w:p>
      <w:pPr>
        <w:spacing w:line="572" w:lineRule="exact"/>
        <w:jc w:val="left"/>
        <w:outlineLvl w:val="0"/>
        <w:rPr>
          <w:rFonts w:ascii="仿宋_GB2312" w:hAnsi="仿宋_GB2312" w:eastAsia="仿宋_GB2312" w:cs="仿宋_GB2312"/>
          <w:color w:val="000000" w:themeColor="text1"/>
          <w:sz w:val="32"/>
          <w:szCs w:val="32"/>
          <w:highlight w:val="yellow"/>
          <w14:textFill>
            <w14:solidFill>
              <w14:schemeClr w14:val="tx1"/>
            </w14:solidFill>
          </w14:textFill>
        </w:rPr>
      </w:pPr>
    </w:p>
    <w:p>
      <w:pPr>
        <w:keepNext w:val="0"/>
        <w:keepLines w:val="0"/>
        <w:pageBreakBefore w:val="0"/>
        <w:widowControl/>
        <w:kinsoku/>
        <w:wordWrap/>
        <w:overflowPunct/>
        <w:topLinePunct w:val="0"/>
        <w:autoSpaceDE/>
        <w:autoSpaceDN/>
        <w:bidi w:val="0"/>
        <w:spacing w:line="576" w:lineRule="exact"/>
        <w:contextualSpacing/>
        <w:jc w:val="center"/>
        <w:textAlignment w:val="auto"/>
        <w:outlineLvl w:val="9"/>
        <w:rPr>
          <w:rFonts w:hint="eastAsia" w:eastAsia="方正小标宋简体" w:cs="Times New Roman"/>
          <w:b w:val="0"/>
          <w:bCs/>
          <w:color w:val="000000" w:themeColor="text1"/>
          <w:sz w:val="44"/>
          <w:szCs w:val="44"/>
          <w:highlight w:val="none"/>
          <w:shd w:val="clear" w:color="auto" w:fill="FFFFFF"/>
          <w:lang w:eastAsia="zh-CN"/>
          <w14:textFill>
            <w14:solidFill>
              <w14:schemeClr w14:val="tx1"/>
            </w14:solidFill>
          </w14:textFill>
        </w:rPr>
      </w:pPr>
      <w:bookmarkStart w:id="77" w:name="_Toc15396618"/>
      <w:r>
        <w:rPr>
          <w:rFonts w:hint="eastAsia" w:eastAsia="方正小标宋简体" w:cs="Times New Roman"/>
          <w:b w:val="0"/>
          <w:bCs/>
          <w:color w:val="000000" w:themeColor="text1"/>
          <w:sz w:val="44"/>
          <w:szCs w:val="44"/>
          <w:highlight w:val="none"/>
          <w:shd w:val="clear" w:color="auto" w:fill="FFFFFF"/>
          <w:lang w:eastAsia="zh-CN"/>
          <w14:textFill>
            <w14:solidFill>
              <w14:schemeClr w14:val="tx1"/>
            </w14:solidFill>
          </w14:textFill>
        </w:rPr>
        <w:t>广元市以工代赈事务中心</w:t>
      </w:r>
    </w:p>
    <w:p>
      <w:pPr>
        <w:adjustRightInd w:val="0"/>
        <w:snapToGrid w:val="0"/>
        <w:spacing w:line="576" w:lineRule="exact"/>
        <w:jc w:val="center"/>
        <w:rPr>
          <w:rFonts w:hint="eastAsia" w:asci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eastAsia="方正小标宋简体" w:cs="方正小标宋简体"/>
          <w:bCs/>
          <w:color w:val="000000" w:themeColor="text1"/>
          <w:sz w:val="44"/>
          <w:szCs w:val="44"/>
          <w14:textFill>
            <w14:solidFill>
              <w14:schemeClr w14:val="tx1"/>
            </w14:solidFill>
          </w14:textFill>
        </w:rPr>
        <w:t>2024年部门整体支出绩效评价</w:t>
      </w:r>
    </w:p>
    <w:p>
      <w:pPr>
        <w:keepNext w:val="0"/>
        <w:keepLines w:val="0"/>
        <w:pageBreakBefore w:val="0"/>
        <w:widowControl/>
        <w:kinsoku/>
        <w:wordWrap/>
        <w:overflowPunct/>
        <w:topLinePunct w:val="0"/>
        <w:autoSpaceDE/>
        <w:autoSpaceDN/>
        <w:bidi w:val="0"/>
        <w:adjustRightInd w:val="0"/>
        <w:snapToGrid w:val="0"/>
        <w:spacing w:line="576" w:lineRule="exact"/>
        <w:ind w:firstLine="480" w:firstLineChars="200"/>
        <w:contextualSpacing/>
        <w:jc w:val="left"/>
        <w:textAlignment w:val="auto"/>
        <w:outlineLvl w:val="9"/>
        <w:rPr>
          <w:rFonts w:hint="default" w:ascii="Times New Roman" w:hAnsi="Times New Roman" w:eastAsia="黑体" w:cs="Times New Roman"/>
          <w:color w:val="000000" w:themeColor="text1"/>
          <w:kern w:val="0"/>
          <w:sz w:val="24"/>
          <w:szCs w:val="32"/>
          <w:highlight w:val="none"/>
          <w:shd w:val="clear" w:color="auto" w:fill="FFFFFF"/>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14:textFill>
            <w14:solidFill>
              <w14:schemeClr w14:val="tx1"/>
            </w14:solidFill>
          </w14:textFill>
        </w:rPr>
        <w:t>一、部门</w:t>
      </w:r>
      <w:r>
        <w:rPr>
          <w:rFonts w:hint="eastAsia" w:ascii="黑体" w:hAnsi="黑体" w:eastAsia="黑体" w:cs="黑体"/>
          <w:color w:val="000000" w:themeColor="text1"/>
          <w:kern w:val="0"/>
          <w:sz w:val="32"/>
          <w:szCs w:val="32"/>
          <w:highlight w:val="none"/>
          <w:shd w:val="clear" w:color="auto" w:fill="FFFFFF"/>
          <w:lang w:val="zh-CN"/>
          <w14:textFill>
            <w14:solidFill>
              <w14:schemeClr w14:val="tx1"/>
            </w14:solidFill>
          </w14:textFill>
        </w:rPr>
        <w:t>基本情况</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b w:val="0"/>
          <w:bCs w:val="0"/>
          <w:color w:val="000000" w:themeColor="text1"/>
          <w:kern w:val="0"/>
          <w:sz w:val="32"/>
          <w:szCs w:val="32"/>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（一）机构组成。</w:t>
      </w:r>
      <w:r>
        <w:rPr>
          <w:rFonts w:hint="eastAsia" w:ascii="仿宋_GB2312" w:hAnsi="仿宋_GB2312" w:eastAsia="仿宋_GB2312" w:cs="仿宋_GB2312"/>
          <w:b w:val="0"/>
          <w:bCs w:val="0"/>
          <w:color w:val="000000" w:themeColor="text1"/>
          <w:sz w:val="32"/>
          <w:szCs w:val="32"/>
          <w14:textFill>
            <w14:solidFill>
              <w14:schemeClr w14:val="tx1"/>
            </w14:solidFill>
          </w14:textFill>
        </w:rPr>
        <w:t>广元市以工代赈事务中心是负责全市以工代赈工作的市政府直属公益一类事业单位（参公管理），正县级，</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内设综合科、项目指导科、工程推进科、评估论证科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4个科室，</w:t>
      </w:r>
      <w:r>
        <w:rPr>
          <w:rFonts w:hint="eastAsia" w:ascii="仿宋_GB2312" w:hAnsi="仿宋_GB2312" w:eastAsia="仿宋_GB2312" w:cs="仿宋_GB2312"/>
          <w:b w:val="0"/>
          <w:bCs w:val="0"/>
          <w:color w:val="000000" w:themeColor="text1"/>
          <w:sz w:val="32"/>
          <w:szCs w:val="32"/>
          <w14:textFill>
            <w14:solidFill>
              <w14:schemeClr w14:val="tx1"/>
            </w14:solidFill>
          </w14:textFill>
        </w:rPr>
        <w:t>为财政全额一级预算单位。本单位为市级直属部门，无下属二级单位。</w:t>
      </w:r>
    </w:p>
    <w:p>
      <w:pPr>
        <w:keepNext w:val="0"/>
        <w:keepLines w:val="0"/>
        <w:pageBreakBefore w:val="0"/>
        <w:kinsoku/>
        <w:wordWrap/>
        <w:overflowPunct/>
        <w:topLinePunct w:val="0"/>
        <w:autoSpaceDE/>
        <w:autoSpaceDN/>
        <w:bidi w:val="0"/>
        <w:spacing w:line="550" w:lineRule="exact"/>
        <w:ind w:firstLine="645"/>
        <w:jc w:val="both"/>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（二）机构职能。</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市以工代赈事务中心</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负责全市以工代赈和易地扶贫搬迁实施意见、管理办法及易地扶贫搬迁后续发展等政策研究的相关事务工作；承担全市以工代赈和易地扶贫搬迁中长</w:t>
      </w:r>
    </w:p>
    <w:p>
      <w:pPr>
        <w:keepNext w:val="0"/>
        <w:keepLines w:val="0"/>
        <w:pageBreakBefore w:val="0"/>
        <w:kinsoku/>
        <w:wordWrap/>
        <w:overflowPunct/>
        <w:topLinePunct w:val="0"/>
        <w:autoSpaceDE/>
        <w:autoSpaceDN/>
        <w:bidi w:val="0"/>
        <w:spacing w:line="550" w:lineRule="exact"/>
        <w:jc w:val="both"/>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9924415</wp:posOffset>
                </wp:positionV>
                <wp:extent cx="5831840" cy="635"/>
                <wp:effectExtent l="0" t="28575" r="16510" b="46990"/>
                <wp:wrapNone/>
                <wp:docPr id="3" name="直接连接符 3"/>
                <wp:cNvGraphicFramePr/>
                <a:graphic xmlns:a="http://schemas.openxmlformats.org/drawingml/2006/main">
                  <a:graphicData uri="http://schemas.microsoft.com/office/word/2010/wordprocessingShape">
                    <wps:wsp>
                      <wps:cNvCnPr/>
                      <wps:spPr>
                        <a:xfrm>
                          <a:off x="0" y="0"/>
                          <a:ext cx="5831840" cy="635"/>
                        </a:xfrm>
                        <a:prstGeom prst="line">
                          <a:avLst/>
                        </a:prstGeom>
                        <a:ln w="57150" cap="flat" cmpd="thinThick">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top:781.45pt;height:0.05pt;width:459.2pt;mso-position-horizontal:center;z-index:251659264;mso-width-relative:page;mso-height-relative:page;" filled="f" stroked="t" coordsize="21600,21600" o:gfxdata="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">
                <v:fill on="f" focussize="0,0"/>
                <v:stroke weight="4.5pt" color="#FF0000" linestyle="thinThick" joinstyle="round"/>
                <v:imagedata o:title=""/>
                <o:lock v:ext="edit" aspectratio="f"/>
              </v:line>
            </w:pict>
          </mc:Fallback>
        </mc:AlternateContent>
      </w:r>
      <w:r>
        <w:rPr>
          <w:rFonts w:hint="eastAsia" w:ascii="仿宋_GB2312" w:hAnsi="仿宋_GB2312" w:eastAsia="仿宋_GB2312" w:cs="仿宋_GB2312"/>
          <w:b w:val="0"/>
          <w:bCs w:val="0"/>
          <w:color w:val="000000" w:themeColor="text1"/>
          <w:sz w:val="32"/>
          <w:szCs w:val="32"/>
          <w14:textFill>
            <w14:solidFill>
              <w14:schemeClr w14:val="tx1"/>
            </w14:solidFill>
          </w14:textFill>
        </w:rPr>
        <w:t>期规划及年度计划的编制和上报等相关事务工作；承担全市以工代赈易地扶贫搬迁项目论证、可行性研究，负责项目库管理服务工作；争取以工代赈和易地扶贫搬迁资金，做好与上级部门的项目衔接工作；承担以工代赈和易地扶贫搬迁资金、地方配套资金计划的协调服务工作；负责以工代赈和易地扶贫搬迁项目建设的服务保障工作</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推行好以工代赈方式；负责做好以工代赈和易地扶贫搬迁领域深化改革工作，指导县区做好以工代赈和易地扶贫搬迁资产收益扶贫项目。负责消费帮扶重点产区建设和欠发达县域托底性帮扶工作。</w:t>
      </w:r>
    </w:p>
    <w:p>
      <w:pPr>
        <w:keepNext w:val="0"/>
        <w:keepLines w:val="0"/>
        <w:pageBreakBefore w:val="0"/>
        <w:kinsoku/>
        <w:wordWrap/>
        <w:overflowPunct/>
        <w:topLinePunct w:val="0"/>
        <w:autoSpaceDE/>
        <w:autoSpaceDN/>
        <w:bidi w:val="0"/>
        <w:spacing w:line="550" w:lineRule="exact"/>
        <w:ind w:firstLine="645"/>
        <w:jc w:val="both"/>
        <w:textAlignment w:val="auto"/>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（三）人员概况。</w:t>
      </w:r>
      <w:r>
        <w:rPr>
          <w:rFonts w:hint="eastAsia" w:ascii="仿宋_GB2312" w:hAnsi="仿宋_GB2312" w:eastAsia="仿宋_GB2312" w:cs="仿宋_GB2312"/>
          <w:b w:val="0"/>
          <w:bCs w:val="0"/>
          <w:color w:val="000000" w:themeColor="text1"/>
          <w:sz w:val="32"/>
          <w:szCs w:val="32"/>
          <w14:textFill>
            <w14:solidFill>
              <w14:schemeClr w14:val="tx1"/>
            </w14:solidFill>
          </w14:textFill>
        </w:rPr>
        <w:t>市以工代赈事务中心有参公事业编制10个，</w:t>
      </w:r>
      <w:r>
        <w:rPr>
          <w:rFonts w:hint="eastAsia" w:ascii="仿宋_GB2312" w:hAnsi="仿宋_GB2312" w:eastAsia="仿宋_GB2312" w:cs="仿宋_GB2312"/>
          <w:b w:val="0"/>
          <w:bCs w:val="0"/>
          <w:color w:val="000000" w:themeColor="text1"/>
          <w:kern w:val="0"/>
          <w:sz w:val="32"/>
          <w:szCs w:val="32"/>
          <w:shd w:val="clear" w:color="auto" w:fill="FFFFFF"/>
          <w14:textFill>
            <w14:solidFill>
              <w14:schemeClr w14:val="tx1"/>
            </w14:solidFill>
          </w14:textFill>
        </w:rPr>
        <w:t>截止202</w:t>
      </w:r>
      <w:r>
        <w:rPr>
          <w:rFonts w:hint="eastAsia" w:ascii="仿宋_GB2312" w:hAnsi="仿宋_GB2312" w:eastAsia="仿宋_GB2312" w:cs="仿宋_GB2312"/>
          <w:b w:val="0"/>
          <w:bCs w:val="0"/>
          <w:color w:val="000000" w:themeColor="text1"/>
          <w:kern w:val="0"/>
          <w:sz w:val="32"/>
          <w:szCs w:val="32"/>
          <w:shd w:val="clear" w:color="auto" w:fill="FFFFFF"/>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shd w:val="clear" w:color="auto" w:fill="FFFFFF"/>
          <w14:textFill>
            <w14:solidFill>
              <w14:schemeClr w14:val="tx1"/>
            </w14:solidFill>
          </w14:textFill>
        </w:rPr>
        <w:t>年12月，</w:t>
      </w:r>
      <w:r>
        <w:rPr>
          <w:rFonts w:hint="eastAsia" w:ascii="仿宋_GB2312" w:hAnsi="仿宋_GB2312" w:eastAsia="仿宋_GB2312" w:cs="仿宋_GB2312"/>
          <w:b w:val="0"/>
          <w:bCs w:val="0"/>
          <w:color w:val="000000" w:themeColor="text1"/>
          <w:sz w:val="32"/>
          <w:szCs w:val="32"/>
          <w14:textFill>
            <w14:solidFill>
              <w14:schemeClr w14:val="tx1"/>
            </w14:solidFill>
          </w14:textFill>
        </w:rPr>
        <w:t>实有在职人员</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z w:val="32"/>
          <w:szCs w:val="32"/>
          <w14:textFill>
            <w14:solidFill>
              <w14:schemeClr w14:val="tx1"/>
            </w14:solidFill>
          </w14:textFill>
        </w:rPr>
        <w:t>人（县级以上干部3人，科级干部</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b w:val="0"/>
          <w:bCs w:val="0"/>
          <w:color w:val="000000" w:themeColor="text1"/>
          <w:sz w:val="32"/>
          <w:szCs w:val="32"/>
          <w14:textFill>
            <w14:solidFill>
              <w14:schemeClr w14:val="tx1"/>
            </w14:solidFill>
          </w14:textFill>
        </w:rPr>
        <w:t>人），退休人员</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b w:val="0"/>
          <w:bCs w:val="0"/>
          <w:color w:val="000000" w:themeColor="text1"/>
          <w:sz w:val="32"/>
          <w:szCs w:val="32"/>
          <w14:textFill>
            <w14:solidFill>
              <w14:schemeClr w14:val="tx1"/>
            </w14:solidFill>
          </w14:textFill>
        </w:rPr>
        <w:t>人。202</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sz w:val="32"/>
          <w:szCs w:val="32"/>
          <w14:textFill>
            <w14:solidFill>
              <w14:schemeClr w14:val="tx1"/>
            </w14:solidFill>
          </w14:textFill>
        </w:rPr>
        <w:t>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由市委组织部统筹协助托底性帮扶工作挂职干部</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人。</w:t>
      </w:r>
    </w:p>
    <w:p>
      <w:pPr>
        <w:keepNext w:val="0"/>
        <w:keepLines w:val="0"/>
        <w:pageBreakBefore w:val="0"/>
        <w:widowControl/>
        <w:numPr>
          <w:ilvl w:val="0"/>
          <w:numId w:val="0"/>
        </w:numPr>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14:textFill>
            <w14:solidFill>
              <w14:schemeClr w14:val="tx1"/>
            </w14:solidFill>
          </w14:textFill>
        </w:rPr>
        <w:t>二、</w:t>
      </w:r>
      <w:r>
        <w:rPr>
          <w:rFonts w:hint="eastAsia" w:ascii="黑体" w:hAnsi="黑体" w:eastAsia="黑体" w:cs="黑体"/>
          <w:b w:val="0"/>
          <w:bCs w:val="0"/>
          <w:color w:val="000000" w:themeColor="text1"/>
          <w:sz w:val="32"/>
          <w:szCs w:val="32"/>
          <w:lang w:eastAsia="zh-CN"/>
          <w14:textFill>
            <w14:solidFill>
              <w14:schemeClr w14:val="tx1"/>
            </w14:solidFill>
          </w14:textFill>
        </w:rPr>
        <w:t>部门</w:t>
      </w:r>
      <w:r>
        <w:rPr>
          <w:rFonts w:hint="eastAsia" w:ascii="黑体" w:hAnsi="黑体" w:eastAsia="黑体" w:cs="黑体"/>
          <w:b w:val="0"/>
          <w:bCs w:val="0"/>
          <w:color w:val="000000" w:themeColor="text1"/>
          <w:sz w:val="32"/>
          <w:szCs w:val="32"/>
          <w14:textFill>
            <w14:solidFill>
              <w14:schemeClr w14:val="tx1"/>
            </w14:solidFill>
          </w14:textFill>
        </w:rPr>
        <w:t>资金收支情况</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（一）收入情况。</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市以工代赈事务中心2023年年初预算收入</w:t>
      </w:r>
      <w:r>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245.5</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万元、全年预算数305.25万元，决算报表收入305.25万元。</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（二）支出情况。</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市以工代赈事务中心2023年年初预算支出</w:t>
      </w:r>
      <w:r>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245.5</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万元、全年预算支出数305.1万元，决算报表支出305.10万元。</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（三）结转结余情况。</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市以工代赈事务中心2023年决算报表结转结余0.15万元。</w:t>
      </w:r>
    </w:p>
    <w:p>
      <w:pPr>
        <w:keepNext w:val="0"/>
        <w:keepLines w:val="0"/>
        <w:pageBreakBefore w:val="0"/>
        <w:widowControl/>
        <w:numPr>
          <w:ilvl w:val="0"/>
          <w:numId w:val="0"/>
        </w:numPr>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14:textFill>
            <w14:solidFill>
              <w14:schemeClr w14:val="tx1"/>
            </w14:solidFill>
          </w14:textFill>
        </w:rPr>
        <w:t>三、部门</w:t>
      </w:r>
      <w:r>
        <w:rPr>
          <w:rFonts w:hint="eastAsia" w:ascii="黑体" w:hAnsi="黑体" w:eastAsia="黑体" w:cs="黑体"/>
          <w:b w:val="0"/>
          <w:bCs w:val="0"/>
          <w:color w:val="000000" w:themeColor="text1"/>
          <w:sz w:val="32"/>
          <w:szCs w:val="32"/>
          <w:lang w:eastAsia="zh-CN"/>
          <w14:textFill>
            <w14:solidFill>
              <w14:schemeClr w14:val="tx1"/>
            </w14:solidFill>
          </w14:textFill>
        </w:rPr>
        <w:t>预算</w:t>
      </w:r>
      <w:r>
        <w:rPr>
          <w:rFonts w:hint="eastAsia" w:ascii="黑体" w:hAnsi="黑体" w:eastAsia="黑体" w:cs="黑体"/>
          <w:b w:val="0"/>
          <w:bCs w:val="0"/>
          <w:color w:val="000000" w:themeColor="text1"/>
          <w:sz w:val="32"/>
          <w:szCs w:val="32"/>
          <w14:textFill>
            <w14:solidFill>
              <w14:schemeClr w14:val="tx1"/>
            </w14:solidFill>
          </w14:textFill>
        </w:rPr>
        <w:t>绩效</w:t>
      </w:r>
      <w:r>
        <w:rPr>
          <w:rFonts w:hint="eastAsia" w:ascii="黑体" w:hAnsi="黑体" w:eastAsia="黑体" w:cs="黑体"/>
          <w:b w:val="0"/>
          <w:bCs w:val="0"/>
          <w:color w:val="000000" w:themeColor="text1"/>
          <w:sz w:val="32"/>
          <w:szCs w:val="32"/>
          <w:lang w:eastAsia="zh-CN"/>
          <w14:textFill>
            <w14:solidFill>
              <w14:schemeClr w14:val="tx1"/>
            </w14:solidFill>
          </w14:textFill>
        </w:rPr>
        <w:t>分析</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（一）部门预算总体绩效分析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firstLine="960" w:firstLineChars="300"/>
        <w:contextualSpacing/>
        <w:jc w:val="both"/>
        <w:textAlignment w:val="auto"/>
        <w:outlineLvl w:val="9"/>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履职效能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）争取项目资金工作经费</w:t>
      </w:r>
      <w:r>
        <w:rPr>
          <w:rFonts w:hint="eastAsia" w:ascii="仿宋_GB2312" w:hAnsi="仿宋_GB2312" w:eastAsia="仿宋_GB2312" w:cs="仿宋_GB2312"/>
          <w:color w:val="000000" w:themeColor="text1"/>
          <w:sz w:val="32"/>
          <w:szCs w:val="32"/>
          <w14:textFill>
            <w14:solidFill>
              <w14:schemeClr w14:val="tx1"/>
            </w14:solidFill>
          </w14:textFill>
        </w:rPr>
        <w:t>绩效分析。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w:t>
      </w:r>
      <w:r>
        <w:rPr>
          <w:rFonts w:hint="eastAsia" w:ascii="仿宋_GB2312" w:hAnsi="仿宋_GB2312" w:eastAsia="仿宋_GB2312" w:cs="仿宋_GB2312"/>
          <w:color w:val="000000" w:themeColor="text1"/>
          <w:sz w:val="32"/>
          <w:szCs w:val="32"/>
          <w14:textFill>
            <w14:solidFill>
              <w14:schemeClr w14:val="tx1"/>
            </w14:solidFill>
          </w14:textFill>
        </w:rPr>
        <w:t>市以工代赈事务中心主要负责同志先后到国家发展改革委汇报工作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次、到省以工代赈办争取政策支持、落实项目资金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次，共争取到位以工代赈专项资金1.19亿元，其中：中央财政以工代赈任务投资3475万元、省级财政衔接推进乡村振兴补助资金（以工代赈任务）1150万元、省预算内基本建设投资1600万元、以工代赈示范工程预算内投资5700万元，较去年增长2606万元，增长率27.9%，资金量首次过亿，首次居全省第一。争取中、省财政衔接资金635万元，支持易地搬迁集中安置区后续扶持。</w:t>
      </w:r>
    </w:p>
    <w:p>
      <w:pPr>
        <w:keepNext w:val="0"/>
        <w:keepLines w:val="0"/>
        <w:pageBreakBefore w:val="0"/>
        <w:widowControl w:val="0"/>
        <w:kinsoku/>
        <w:wordWrap/>
        <w:overflowPunct w:val="0"/>
        <w:topLinePunct w:val="0"/>
        <w:autoSpaceDE/>
        <w:autoSpaceDN/>
        <w:bidi w:val="0"/>
        <w:adjustRightInd w:val="0"/>
        <w:snapToGrid w:val="0"/>
        <w:spacing w:line="550"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）以工代赈项目管理工作经费</w:t>
      </w:r>
      <w:r>
        <w:rPr>
          <w:rFonts w:hint="eastAsia" w:ascii="仿宋_GB2312" w:hAnsi="仿宋_GB2312" w:eastAsia="仿宋_GB2312" w:cs="仿宋_GB2312"/>
          <w:color w:val="000000" w:themeColor="text1"/>
          <w:sz w:val="32"/>
          <w:szCs w:val="32"/>
          <w14:textFill>
            <w14:solidFill>
              <w14:schemeClr w14:val="tx1"/>
            </w14:solidFill>
          </w14:textFill>
        </w:rPr>
        <w:t>绩效分析。始终坚持“先有群众、后有项目”原则，</w:t>
      </w:r>
      <w:r>
        <w:rPr>
          <w:rFonts w:hint="eastAsia" w:ascii="仿宋_GB2312" w:hAnsi="仿宋_GB2312" w:eastAsia="仿宋_GB2312" w:cs="仿宋_GB2312"/>
          <w:color w:val="000000" w:themeColor="text1"/>
          <w:sz w:val="32"/>
          <w:szCs w:val="32"/>
          <w:lang w:eastAsia="zh-CN"/>
          <w14:textFill>
            <w14:solidFill>
              <w14:schemeClr w14:val="tx1"/>
            </w14:solidFill>
          </w14:textFill>
        </w:rPr>
        <w:t>紧紧围绕</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“农村公益性基础设施和农村产业发展配套基础设施”两条主线谋划项目。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强化项目全过程监督，严把劳务组织、“定人定岗定酬”“租购聘”“一卡通”按月发放劳务报酬、竣工验收、绩效评估等重点环节，扎实做好公益性岗位设置和折股量化分红工作。全市24个</w:t>
      </w:r>
      <w:r>
        <w:rPr>
          <w:rFonts w:hint="eastAsia" w:ascii="仿宋_GB2312" w:hAnsi="仿宋_GB2312" w:eastAsia="仿宋_GB2312" w:cs="仿宋_GB2312"/>
          <w:b w:val="0"/>
          <w:bCs w:val="0"/>
          <w:color w:val="000000" w:themeColor="text1"/>
          <w:sz w:val="32"/>
          <w:szCs w:val="32"/>
          <w14:textFill>
            <w14:solidFill>
              <w14:schemeClr w14:val="tx1"/>
            </w14:solidFill>
          </w14:textFill>
        </w:rPr>
        <w:t>2022年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以工代赈专项</w:t>
      </w:r>
      <w:r>
        <w:rPr>
          <w:rFonts w:hint="eastAsia" w:ascii="仿宋_GB2312" w:hAnsi="仿宋_GB2312" w:eastAsia="仿宋_GB2312" w:cs="仿宋_GB2312"/>
          <w:b w:val="0"/>
          <w:bCs w:val="0"/>
          <w:color w:val="000000" w:themeColor="text1"/>
          <w:sz w:val="32"/>
          <w:szCs w:val="32"/>
          <w14:textFill>
            <w14:solidFill>
              <w14:schemeClr w14:val="tx1"/>
            </w14:solidFill>
          </w14:textFill>
        </w:rPr>
        <w:t>全部通过验收，完成总投资</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10513</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吸纳</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3066名群众参与务工，</w:t>
      </w:r>
      <w:r>
        <w:rPr>
          <w:rFonts w:hint="eastAsia" w:ascii="仿宋_GB2312" w:hAnsi="仿宋_GB2312" w:eastAsia="仿宋_GB2312" w:cs="仿宋_GB2312"/>
          <w:b w:val="0"/>
          <w:bCs w:val="0"/>
          <w:color w:val="000000" w:themeColor="text1"/>
          <w:sz w:val="32"/>
          <w:szCs w:val="32"/>
          <w14:textFill>
            <w14:solidFill>
              <w14:schemeClr w14:val="tx1"/>
            </w14:solidFill>
          </w14:textFill>
        </w:rPr>
        <w:t>发放劳务报酬2343.6万元</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，占财政资金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25.15%</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27个</w:t>
      </w:r>
      <w:r>
        <w:rPr>
          <w:rFonts w:hint="eastAsia" w:ascii="仿宋_GB2312" w:hAnsi="仿宋_GB2312" w:eastAsia="仿宋_GB2312" w:cs="仿宋_GB2312"/>
          <w:b w:val="0"/>
          <w:bCs w:val="0"/>
          <w:color w:val="000000" w:themeColor="text1"/>
          <w:sz w:val="32"/>
          <w:szCs w:val="32"/>
          <w14:textFill>
            <w14:solidFill>
              <w14:schemeClr w14:val="tx1"/>
            </w14:solidFill>
          </w14:textFill>
        </w:rPr>
        <w:t>2023年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以工代赈项目</w:t>
      </w:r>
      <w:r>
        <w:rPr>
          <w:rFonts w:hint="eastAsia" w:ascii="仿宋_GB2312" w:hAnsi="仿宋_GB2312" w:eastAsia="仿宋_GB2312" w:cs="仿宋_GB2312"/>
          <w:b w:val="0"/>
          <w:bCs w:val="0"/>
          <w:color w:val="000000" w:themeColor="text1"/>
          <w:sz w:val="32"/>
          <w:szCs w:val="32"/>
          <w14:textFill>
            <w14:solidFill>
              <w14:schemeClr w14:val="tx1"/>
            </w14:solidFill>
          </w14:textFill>
        </w:rPr>
        <w:t>已完成总投资</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10486.7</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吸纳</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4571名群众参与务工，开展技能培训7436人次，</w:t>
      </w:r>
      <w:r>
        <w:rPr>
          <w:rFonts w:hint="eastAsia" w:ascii="仿宋_GB2312" w:hAnsi="仿宋_GB2312" w:eastAsia="仿宋_GB2312" w:cs="仿宋_GB2312"/>
          <w:b w:val="0"/>
          <w:bCs w:val="0"/>
          <w:color w:val="000000" w:themeColor="text1"/>
          <w:sz w:val="32"/>
          <w:szCs w:val="32"/>
          <w14:textFill>
            <w14:solidFill>
              <w14:schemeClr w14:val="tx1"/>
            </w14:solidFill>
          </w14:textFill>
        </w:rPr>
        <w:t>发放劳务报酬</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2872.4</w:t>
      </w:r>
      <w:r>
        <w:rPr>
          <w:rFonts w:hint="eastAsia" w:ascii="仿宋_GB2312" w:hAnsi="仿宋_GB2312" w:eastAsia="仿宋_GB2312" w:cs="仿宋_GB2312"/>
          <w:b w:val="0"/>
          <w:bCs w:val="0"/>
          <w:color w:val="000000" w:themeColor="text1"/>
          <w:sz w:val="32"/>
          <w:szCs w:val="32"/>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在重点工程项目和农业农村基础设施建设领域积极推广以工代赈，继续扩大劳务报酬规模。</w:t>
      </w:r>
      <w:r>
        <w:rPr>
          <w:rFonts w:hint="eastAsia" w:ascii="仿宋_GB2312" w:hAnsi="仿宋_GB2312" w:eastAsia="仿宋_GB2312" w:cs="仿宋_GB2312"/>
          <w:b w:val="0"/>
          <w:bCs w:val="0"/>
          <w:color w:val="000000" w:themeColor="text1"/>
          <w:sz w:val="32"/>
          <w:szCs w:val="32"/>
          <w14:textFill>
            <w14:solidFill>
              <w14:schemeClr w14:val="tx1"/>
            </w14:solidFill>
          </w14:textFill>
        </w:rPr>
        <w:t>建立了“农推”“重推”市</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、县两</w:t>
      </w:r>
      <w:r>
        <w:rPr>
          <w:rFonts w:hint="eastAsia" w:ascii="仿宋_GB2312" w:hAnsi="仿宋_GB2312" w:eastAsia="仿宋_GB2312" w:cs="仿宋_GB2312"/>
          <w:b w:val="0"/>
          <w:bCs w:val="0"/>
          <w:color w:val="000000" w:themeColor="text1"/>
          <w:sz w:val="32"/>
          <w:szCs w:val="32"/>
          <w14:textFill>
            <w14:solidFill>
              <w14:schemeClr w14:val="tx1"/>
            </w14:solidFill>
          </w14:textFill>
        </w:rPr>
        <w:t>级推进工作机制，</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严格县级清单备案、市级清单集中会审及动态管理制度。</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sz w:val="32"/>
          <w:szCs w:val="32"/>
          <w14:textFill>
            <w14:solidFill>
              <w14:schemeClr w14:val="tx1"/>
            </w14:solidFill>
          </w14:textFill>
        </w:rPr>
        <w:t>全市“农推”入库项目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497</w:t>
      </w:r>
      <w:r>
        <w:rPr>
          <w:rFonts w:hint="eastAsia" w:ascii="仿宋_GB2312" w:hAnsi="仿宋_GB2312" w:eastAsia="仿宋_GB2312" w:cs="仿宋_GB2312"/>
          <w:b w:val="0"/>
          <w:bCs w:val="0"/>
          <w:color w:val="000000" w:themeColor="text1"/>
          <w:sz w:val="32"/>
          <w:szCs w:val="32"/>
          <w14:textFill>
            <w14:solidFill>
              <w14:schemeClr w14:val="tx1"/>
            </w14:solidFill>
          </w14:textFill>
        </w:rPr>
        <w:t>个，</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总投资</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4.51</w:t>
      </w:r>
      <w:r>
        <w:rPr>
          <w:rFonts w:hint="eastAsia" w:ascii="仿宋_GB2312" w:hAnsi="仿宋_GB2312" w:eastAsia="仿宋_GB2312" w:cs="仿宋_GB2312"/>
          <w:b w:val="0"/>
          <w:bCs w:val="0"/>
          <w:color w:val="000000" w:themeColor="text1"/>
          <w:sz w:val="32"/>
          <w:szCs w:val="32"/>
          <w14:textFill>
            <w14:solidFill>
              <w14:schemeClr w14:val="tx1"/>
            </w14:solidFill>
          </w14:textFill>
        </w:rPr>
        <w:t>亿元，组织群众务</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工11154人，开展技能培训15106人次，发放劳务报酬6762.15万元</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“重推”项目4</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z w:val="32"/>
          <w:szCs w:val="32"/>
          <w14:textFill>
            <w14:solidFill>
              <w14:schemeClr w14:val="tx1"/>
            </w14:solidFill>
          </w14:textFill>
        </w:rPr>
        <w:t>个，组织群众务工</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5620</w:t>
      </w:r>
      <w:r>
        <w:rPr>
          <w:rFonts w:hint="eastAsia" w:ascii="仿宋_GB2312" w:hAnsi="仿宋_GB2312" w:eastAsia="仿宋_GB2312" w:cs="仿宋_GB2312"/>
          <w:b w:val="0"/>
          <w:bCs w:val="0"/>
          <w:color w:val="000000" w:themeColor="text1"/>
          <w:sz w:val="32"/>
          <w:szCs w:val="32"/>
          <w14:textFill>
            <w14:solidFill>
              <w14:schemeClr w14:val="tx1"/>
            </w14:solidFill>
          </w14:textFill>
        </w:rPr>
        <w:t>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开展技能培训6327人次，</w:t>
      </w:r>
      <w:r>
        <w:rPr>
          <w:rFonts w:hint="eastAsia" w:ascii="仿宋_GB2312" w:hAnsi="仿宋_GB2312" w:eastAsia="仿宋_GB2312" w:cs="仿宋_GB2312"/>
          <w:b w:val="0"/>
          <w:bCs w:val="0"/>
          <w:color w:val="000000" w:themeColor="text1"/>
          <w:sz w:val="32"/>
          <w:szCs w:val="32"/>
          <w14:textFill>
            <w14:solidFill>
              <w14:schemeClr w14:val="tx1"/>
            </w14:solidFill>
          </w14:textFill>
        </w:rPr>
        <w:t>发放劳务报酬</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9435.02万</w:t>
      </w:r>
      <w:r>
        <w:rPr>
          <w:rFonts w:hint="eastAsia" w:ascii="仿宋_GB2312" w:hAnsi="仿宋_GB2312" w:eastAsia="仿宋_GB2312" w:cs="仿宋_GB2312"/>
          <w:b w:val="0"/>
          <w:bCs w:val="0"/>
          <w:color w:val="000000" w:themeColor="text1"/>
          <w:sz w:val="32"/>
          <w:szCs w:val="32"/>
          <w14:textFill>
            <w14:solidFill>
              <w14:schemeClr w14:val="tx1"/>
            </w14:solidFill>
          </w14:textFill>
        </w:rPr>
        <w:t>元。</w:t>
      </w:r>
      <w:r>
        <w:rPr>
          <w:rFonts w:hint="eastAsia" w:ascii="仿宋_GB2312" w:hAnsi="仿宋_GB2312" w:eastAsia="仿宋_GB2312" w:cs="仿宋_GB2312"/>
          <w:b w:val="0"/>
          <w:bCs w:val="0"/>
          <w:color w:val="000000" w:themeColor="text1"/>
          <w:kern w:val="0"/>
          <w:sz w:val="32"/>
          <w:szCs w:val="32"/>
          <w:u w:val="none"/>
          <w:lang w:val="en-US" w:eastAsia="zh-CN"/>
          <w14:textFill>
            <w14:solidFill>
              <w14:schemeClr w14:val="tx1"/>
            </w14:solidFill>
          </w14:textFill>
        </w:rPr>
        <w:t>2023年6月，全国以工代赈工作现场会在广元、南充召开，参观了我市苍溪县、剑阁县4个项目点位，并在会议上作经验交流发言；</w:t>
      </w:r>
      <w:r>
        <w:rPr>
          <w:rFonts w:hint="eastAsia" w:ascii="仿宋_GB2312" w:hAnsi="仿宋_GB2312" w:eastAsia="仿宋_GB2312" w:cs="仿宋_GB2312"/>
          <w:b w:val="0"/>
          <w:bCs w:val="0"/>
          <w:color w:val="000000" w:themeColor="text1"/>
          <w:sz w:val="32"/>
          <w:szCs w:val="32"/>
          <w14:textFill>
            <w14:solidFill>
              <w14:schemeClr w14:val="tx1"/>
            </w14:solidFill>
          </w14:textFill>
        </w:rPr>
        <w:t>9月，</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我市</w:t>
      </w:r>
      <w:r>
        <w:rPr>
          <w:rFonts w:hint="eastAsia" w:ascii="仿宋_GB2312" w:hAnsi="仿宋_GB2312" w:eastAsia="仿宋_GB2312" w:cs="仿宋_GB2312"/>
          <w:b w:val="0"/>
          <w:bCs w:val="0"/>
          <w:color w:val="000000" w:themeColor="text1"/>
          <w:sz w:val="32"/>
          <w:szCs w:val="32"/>
          <w14:textFill>
            <w14:solidFill>
              <w14:schemeClr w14:val="tx1"/>
            </w14:solidFill>
          </w14:textFill>
        </w:rPr>
        <w:t>被省政府督查激励为“大力实施以工代赈项目、积极推广以工代赈方式、带动当地群众就业增收成效明显的地方”。</w:t>
      </w:r>
    </w:p>
    <w:p>
      <w:pPr>
        <w:keepNext w:val="0"/>
        <w:keepLines w:val="0"/>
        <w:pageBreakBefore w:val="0"/>
        <w:kinsoku/>
        <w:wordWrap/>
        <w:topLinePunct w:val="0"/>
        <w:autoSpaceDE/>
        <w:autoSpaceDN/>
        <w:bidi w:val="0"/>
        <w:spacing w:line="550" w:lineRule="exact"/>
        <w:ind w:firstLine="800" w:firstLineChars="250"/>
        <w:jc w:val="both"/>
        <w:textAlignment w:val="auto"/>
        <w:rPr>
          <w:rFonts w:hint="eastAsia" w:ascii="仿宋_GB2312" w:hAnsi="仿宋_GB2312" w:eastAsia="仿宋_GB2312" w:cs="仿宋_GB2312"/>
          <w:b w:val="0"/>
          <w:bCs w:val="0"/>
          <w:color w:val="000000" w:themeColor="text1"/>
          <w:sz w:val="32"/>
          <w:szCs w:val="32"/>
          <w:u w:val="none"/>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w:t>
      </w:r>
      <w:r>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）易地搬迁后续扶持及消费帮扶工作经费</w:t>
      </w:r>
      <w:r>
        <w:rPr>
          <w:rFonts w:hint="eastAsia" w:ascii="仿宋_GB2312" w:hAnsi="仿宋_GB2312" w:eastAsia="仿宋_GB2312" w:cs="仿宋_GB2312"/>
          <w:b w:val="0"/>
          <w:bCs w:val="0"/>
          <w:color w:val="000000" w:themeColor="text1"/>
          <w:sz w:val="32"/>
          <w:szCs w:val="32"/>
          <w14:textFill>
            <w14:solidFill>
              <w14:schemeClr w14:val="tx1"/>
            </w14:solidFill>
          </w14:textFill>
        </w:rPr>
        <w:t>绩效分析。聚焦“守底线、抓发展、促振兴”工作主线，不断强化易地搬迁后续扶持，持续提升搬迁成效。2023年，省下达我市搬迁群众就业任务5.44万人，完成5.65万人；下达公岗兜底就业任务4930人，完成5300人。易地搬迁对象家庭人均纯收入17149元，增幅22.0%，高于全市农民的平均增速。统筹中省市资金8130万元支持40个易地搬迁安置点产业发展、基础和服务设施提升。</w:t>
      </w:r>
      <w:r>
        <w:rPr>
          <w:rFonts w:hint="eastAsia" w:ascii="仿宋_GB2312" w:hAnsi="仿宋_GB2312" w:eastAsia="仿宋_GB2312" w:cs="仿宋_GB2312"/>
          <w:b w:val="0"/>
          <w:bCs w:val="0"/>
          <w:color w:val="000000" w:themeColor="text1"/>
          <w:kern w:val="0"/>
          <w:sz w:val="32"/>
          <w:szCs w:val="32"/>
          <w:u w:val="none"/>
          <w:lang w:val="en-US" w:eastAsia="zh-CN"/>
          <w14:textFill>
            <w14:solidFill>
              <w14:schemeClr w14:val="tx1"/>
            </w14:solidFill>
          </w14:textFill>
        </w:rPr>
        <w:t>2023年2月，我市在</w:t>
      </w:r>
      <w:r>
        <w:rPr>
          <w:rFonts w:hint="eastAsia" w:ascii="仿宋_GB2312" w:hAnsi="仿宋_GB2312" w:eastAsia="仿宋_GB2312" w:cs="仿宋_GB2312"/>
          <w:b w:val="0"/>
          <w:bCs w:val="0"/>
          <w:color w:val="000000" w:themeColor="text1"/>
          <w:kern w:val="2"/>
          <w:sz w:val="32"/>
          <w:szCs w:val="32"/>
          <w:u w:val="none"/>
          <w:lang w:val="en-US" w:eastAsia="zh-CN" w:bidi="ar-SA"/>
          <w14:textFill>
            <w14:solidFill>
              <w14:schemeClr w14:val="tx1"/>
            </w14:solidFill>
          </w14:textFill>
        </w:rPr>
        <w:t>全国易地扶贫搬迁后续扶持工作现场会上作经验交流发言；</w:t>
      </w:r>
      <w:r>
        <w:rPr>
          <w:rFonts w:hint="eastAsia" w:ascii="仿宋_GB2312" w:hAnsi="仿宋_GB2312" w:eastAsia="仿宋_GB2312" w:cs="仿宋_GB2312"/>
          <w:b w:val="0"/>
          <w:bCs w:val="0"/>
          <w:color w:val="000000" w:themeColor="text1"/>
          <w:kern w:val="0"/>
          <w:sz w:val="32"/>
          <w:szCs w:val="32"/>
          <w:u w:val="none"/>
          <w:lang w:val="en-US" w:eastAsia="zh-CN"/>
          <w14:textFill>
            <w14:solidFill>
              <w14:schemeClr w14:val="tx1"/>
            </w14:solidFill>
          </w14:textFill>
        </w:rPr>
        <w:t>5月，</w:t>
      </w:r>
      <w:r>
        <w:rPr>
          <w:rFonts w:hint="eastAsia" w:ascii="仿宋_GB2312" w:hAnsi="仿宋_GB2312" w:eastAsia="仿宋_GB2312" w:cs="仿宋_GB2312"/>
          <w:b w:val="0"/>
          <w:bCs w:val="0"/>
          <w:color w:val="000000" w:themeColor="text1"/>
          <w:kern w:val="2"/>
          <w:sz w:val="32"/>
          <w:szCs w:val="32"/>
          <w:u w:val="none"/>
          <w:lang w:val="en-US" w:eastAsia="zh-CN" w:bidi="ar-SA"/>
          <w14:textFill>
            <w14:solidFill>
              <w14:schemeClr w14:val="tx1"/>
            </w14:solidFill>
          </w14:textFill>
        </w:rPr>
        <w:t>被国务院督查激励为“2022年易地扶贫搬迁后续扶持工作成效明显的地方”；6月，被</w:t>
      </w:r>
      <w:r>
        <w:rPr>
          <w:rFonts w:hint="eastAsia" w:ascii="仿宋_GB2312" w:hAnsi="仿宋_GB2312" w:eastAsia="仿宋_GB2312" w:cs="仿宋_GB2312"/>
          <w:b w:val="0"/>
          <w:bCs w:val="0"/>
          <w:color w:val="000000" w:themeColor="text1"/>
          <w:kern w:val="0"/>
          <w:sz w:val="32"/>
          <w:szCs w:val="32"/>
          <w:u w:val="none"/>
          <w:lang w:val="en-US" w:eastAsia="zh-CN"/>
          <w14:textFill>
            <w14:solidFill>
              <w14:schemeClr w14:val="tx1"/>
            </w14:solidFill>
          </w14:textFill>
        </w:rPr>
        <w:t>国家发展改革委通报表扬</w:t>
      </w:r>
      <w:r>
        <w:rPr>
          <w:rFonts w:hint="eastAsia" w:ascii="仿宋_GB2312" w:hAnsi="仿宋_GB2312" w:eastAsia="仿宋_GB2312" w:cs="仿宋_GB2312"/>
          <w:b w:val="0"/>
          <w:bCs w:val="0"/>
          <w:color w:val="000000" w:themeColor="text1"/>
          <w:kern w:val="2"/>
          <w:sz w:val="32"/>
          <w:szCs w:val="32"/>
          <w:u w:val="none"/>
          <w:lang w:val="en-US" w:eastAsia="zh-CN" w:bidi="ar-SA"/>
          <w14:textFill>
            <w14:solidFill>
              <w14:schemeClr w14:val="tx1"/>
            </w14:solidFill>
          </w14:textFill>
        </w:rPr>
        <w:t>为“2022年易地扶贫搬迁后续扶持工作成效明显地方”</w:t>
      </w:r>
      <w:r>
        <w:rPr>
          <w:rFonts w:hint="eastAsia" w:ascii="仿宋_GB2312" w:hAnsi="仿宋_GB2312" w:eastAsia="仿宋_GB2312" w:cs="仿宋_GB2312"/>
          <w:b w:val="0"/>
          <w:bCs w:val="0"/>
          <w:color w:val="000000" w:themeColor="text1"/>
          <w:sz w:val="32"/>
          <w:szCs w:val="32"/>
          <w:u w:val="none"/>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sz w:val="32"/>
          <w:szCs w:val="32"/>
          <w:u w:val="none"/>
          <w:lang w:eastAsia="zh-CN"/>
          <w14:textFill>
            <w14:solidFill>
              <w14:schemeClr w14:val="tx1"/>
            </w14:solidFill>
          </w14:textFill>
        </w:rPr>
        <w:t>以“消费帮扶重点产区建设”为引领，统筹推进消费帮扶各项工作。建立了部门工作协调机制，明确了工作职能，制定了《广元市消费帮扶重点产区建设工作方案》，并作为四川唯一地市上报国家评审。大力开展“消费帮扶金秋行动”“消费帮扶新春行动”等活动，持续推进“广供杭州”“广供成都”，2023年实现农副产品销售额17 亿元。</w:t>
      </w:r>
    </w:p>
    <w:p>
      <w:pPr>
        <w:keepNext w:val="0"/>
        <w:keepLines w:val="0"/>
        <w:pageBreakBefore w:val="0"/>
        <w:kinsoku/>
        <w:wordWrap/>
        <w:topLinePunct w:val="0"/>
        <w:autoSpaceDE/>
        <w:autoSpaceDN/>
        <w:bidi w:val="0"/>
        <w:spacing w:line="550" w:lineRule="exact"/>
        <w:ind w:firstLine="800" w:firstLineChars="250"/>
        <w:jc w:val="both"/>
        <w:textAlignment w:val="auto"/>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预算管理</w:t>
      </w:r>
    </w:p>
    <w:p>
      <w:pPr>
        <w:keepNext w:val="0"/>
        <w:keepLines w:val="0"/>
        <w:pageBreakBefore w:val="0"/>
        <w:kinsoku/>
        <w:wordWrap/>
        <w:topLinePunct w:val="0"/>
        <w:autoSpaceDE/>
        <w:autoSpaceDN/>
        <w:bidi w:val="0"/>
        <w:spacing w:line="55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（1）预算编制质量。严格按要求编制年初部门预算，不断提高预算编制的科学性和准确性。一是准确掌握单位基础数据信息，做好预算管理一体化系统数据迁移和数据持续更新维护工作。二是</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严格按照市财政局预算编制通知明确的范围、标准等</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结合部门职能职责，科学编制部门预算，确保申报材料齐全、申报内容完整、支出科目运用准确。三是坚持集中决策，将预算编制纳入市中心党组会集中审议，对编制的预算项目逐项进行分析研判，确保预算准确。四是</w:t>
      </w:r>
      <w:r>
        <w:rPr>
          <w:rFonts w:hint="eastAsia" w:ascii="仿宋_GB2312" w:hAnsi="仿宋_GB2312" w:eastAsia="仿宋_GB2312" w:cs="仿宋_GB2312"/>
          <w:color w:val="000000" w:themeColor="text1"/>
          <w:kern w:val="2"/>
          <w:sz w:val="32"/>
          <w:szCs w:val="32"/>
          <w14:textFill>
            <w14:solidFill>
              <w14:schemeClr w14:val="tx1"/>
            </w14:solidFill>
          </w14:textFill>
        </w:rPr>
        <w:t>坚持主动性、透明性、规范性，及时对单位的年度预算</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在市政府、市财政网站</w:t>
      </w:r>
      <w:r>
        <w:rPr>
          <w:rFonts w:hint="eastAsia" w:ascii="仿宋_GB2312" w:hAnsi="仿宋_GB2312" w:eastAsia="仿宋_GB2312" w:cs="仿宋_GB2312"/>
          <w:color w:val="000000" w:themeColor="text1"/>
          <w:kern w:val="2"/>
          <w:sz w:val="32"/>
          <w:szCs w:val="32"/>
          <w14:textFill>
            <w14:solidFill>
              <w14:schemeClr w14:val="tx1"/>
            </w14:solidFill>
          </w14:textFill>
        </w:rPr>
        <w:t>进行公开。</w:t>
      </w:r>
    </w:p>
    <w:p>
      <w:pPr>
        <w:keepNext w:val="0"/>
        <w:keepLines w:val="0"/>
        <w:pageBreakBefore w:val="0"/>
        <w:kinsoku/>
        <w:wordWrap/>
        <w:topLinePunct w:val="0"/>
        <w:autoSpaceDE/>
        <w:autoSpaceDN/>
        <w:bidi w:val="0"/>
        <w:spacing w:line="550" w:lineRule="exact"/>
        <w:ind w:firstLine="640" w:firstLineChars="200"/>
        <w:jc w:val="both"/>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（2）单位收入统筹。我部门无自有收入，因此不涉及此项考核内容。</w:t>
      </w:r>
    </w:p>
    <w:p>
      <w:pPr>
        <w:keepNext w:val="0"/>
        <w:keepLines w:val="0"/>
        <w:pageBreakBefore w:val="0"/>
        <w:kinsoku/>
        <w:wordWrap/>
        <w:topLinePunct w:val="0"/>
        <w:autoSpaceDE/>
        <w:autoSpaceDN/>
        <w:bidi w:val="0"/>
        <w:spacing w:line="550" w:lineRule="exact"/>
        <w:ind w:firstLine="640"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（3）支出执行进度。</w:t>
      </w:r>
      <w:r>
        <w:rPr>
          <w:rFonts w:hint="eastAsia" w:ascii="仿宋_GB2312" w:hAnsi="仿宋_GB2312" w:eastAsia="仿宋_GB2312" w:cs="仿宋_GB2312"/>
          <w:color w:val="000000" w:themeColor="text1"/>
          <w:kern w:val="0"/>
          <w:sz w:val="32"/>
          <w:szCs w:val="32"/>
          <w14:textFill>
            <w14:solidFill>
              <w14:schemeClr w14:val="tx1"/>
            </w14:solidFill>
          </w14:textFill>
        </w:rPr>
        <w:t>2023年1-6月我</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中心</w:t>
      </w:r>
      <w:r>
        <w:rPr>
          <w:rFonts w:hint="eastAsia" w:ascii="仿宋_GB2312" w:hAnsi="仿宋_GB2312" w:eastAsia="仿宋_GB2312" w:cs="仿宋_GB2312"/>
          <w:color w:val="000000" w:themeColor="text1"/>
          <w:kern w:val="0"/>
          <w:sz w:val="32"/>
          <w:szCs w:val="32"/>
          <w14:textFill>
            <w14:solidFill>
              <w14:schemeClr w14:val="tx1"/>
            </w14:solidFill>
          </w14:textFill>
        </w:rPr>
        <w:t>预算执行数为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127.46</w:t>
      </w:r>
      <w:r>
        <w:rPr>
          <w:rFonts w:hint="eastAsia" w:ascii="仿宋_GB2312" w:hAnsi="仿宋_GB2312" w:eastAsia="仿宋_GB2312" w:cs="仿宋_GB2312"/>
          <w:color w:val="000000" w:themeColor="text1"/>
          <w:kern w:val="0"/>
          <w:sz w:val="32"/>
          <w:szCs w:val="32"/>
          <w14:textFill>
            <w14:solidFill>
              <w14:schemeClr w14:val="tx1"/>
            </w14:solidFill>
          </w14:textFill>
        </w:rPr>
        <w:t>万元，执行进度为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41.55%</w:t>
      </w:r>
      <w:r>
        <w:rPr>
          <w:rFonts w:hint="eastAsia"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32"/>
          <w:szCs w:val="32"/>
          <w14:textFill>
            <w14:solidFill>
              <w14:schemeClr w14:val="tx1"/>
            </w14:solidFill>
          </w14:textFill>
        </w:rPr>
        <w:t>月我</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中心</w:t>
      </w:r>
      <w:r>
        <w:rPr>
          <w:rFonts w:hint="eastAsia" w:ascii="仿宋_GB2312" w:hAnsi="仿宋_GB2312" w:eastAsia="仿宋_GB2312" w:cs="仿宋_GB2312"/>
          <w:color w:val="000000" w:themeColor="text1"/>
          <w:kern w:val="0"/>
          <w:sz w:val="32"/>
          <w:szCs w:val="32"/>
          <w14:textFill>
            <w14:solidFill>
              <w14:schemeClr w14:val="tx1"/>
            </w14:solidFill>
          </w14:textFill>
        </w:rPr>
        <w:t>预算执行数</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244.84万元</w:t>
      </w:r>
      <w:r>
        <w:rPr>
          <w:rFonts w:hint="eastAsia" w:ascii="仿宋_GB2312" w:hAnsi="仿宋_GB2312" w:eastAsia="仿宋_GB2312" w:cs="仿宋_GB2312"/>
          <w:color w:val="000000" w:themeColor="text1"/>
          <w:kern w:val="0"/>
          <w:sz w:val="32"/>
          <w:szCs w:val="32"/>
          <w14:textFill>
            <w14:solidFill>
              <w14:schemeClr w14:val="tx1"/>
            </w14:solidFill>
          </w14:textFill>
        </w:rPr>
        <w:t>，执行进度为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79.82%</w:t>
      </w:r>
      <w:r>
        <w:rPr>
          <w:rFonts w:hint="eastAsia" w:ascii="仿宋_GB2312" w:hAnsi="仿宋_GB2312" w:eastAsia="仿宋_GB2312" w:cs="仿宋_GB2312"/>
          <w:color w:val="000000" w:themeColor="text1"/>
          <w:kern w:val="0"/>
          <w:sz w:val="32"/>
          <w:szCs w:val="32"/>
          <w14:textFill>
            <w14:solidFill>
              <w14:schemeClr w14:val="tx1"/>
            </w14:solidFill>
          </w14:textFill>
        </w:rPr>
        <w:t>，无违规支付金额</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和预警金额</w:t>
      </w:r>
      <w:r>
        <w:rPr>
          <w:rFonts w:hint="eastAsia" w:ascii="仿宋_GB2312" w:hAnsi="仿宋_GB2312" w:eastAsia="仿宋_GB2312" w:cs="仿宋_GB2312"/>
          <w:color w:val="000000" w:themeColor="text1"/>
          <w:kern w:val="0"/>
          <w:sz w:val="32"/>
          <w:szCs w:val="32"/>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（4）预算年终结余情况。</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2023年我中心年终结余资金为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1480.17元。</w:t>
      </w:r>
    </w:p>
    <w:p>
      <w:pPr>
        <w:keepNext w:val="0"/>
        <w:keepLines w:val="0"/>
        <w:pageBreakBefore w:val="0"/>
        <w:kinsoku/>
        <w:wordWrap/>
        <w:topLinePunct w:val="0"/>
        <w:autoSpaceDE/>
        <w:autoSpaceDN/>
        <w:bidi w:val="0"/>
        <w:spacing w:line="55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（5）严控一般性支出情况。</w:t>
      </w:r>
      <w:r>
        <w:rPr>
          <w:rFonts w:hint="eastAsia" w:ascii="仿宋_GB2312" w:hAnsi="仿宋_GB2312" w:eastAsia="仿宋_GB2312" w:cs="仿宋_GB2312"/>
          <w:color w:val="000000" w:themeColor="text1"/>
          <w:sz w:val="32"/>
          <w:szCs w:val="32"/>
          <w14:textFill>
            <w14:solidFill>
              <w14:schemeClr w14:val="tx1"/>
            </w14:solidFill>
          </w14:textFill>
        </w:rPr>
        <w:t>严格按照预算执行，遵循“谁经手、谁负责”，所有经费支出必须坚持“事前报告、一事一结、及时报账”的原则。</w:t>
      </w:r>
      <w:r>
        <w:rPr>
          <w:rFonts w:hint="eastAsia" w:ascii="仿宋_GB2312" w:hAnsi="仿宋_GB2312" w:eastAsia="仿宋_GB2312" w:cs="仿宋_GB2312"/>
          <w:color w:val="000000" w:themeColor="text1"/>
          <w:sz w:val="32"/>
          <w:szCs w:val="32"/>
          <w:lang w:eastAsia="zh-CN"/>
          <w14:textFill>
            <w14:solidFill>
              <w14:schemeClr w14:val="tx1"/>
            </w14:solidFill>
          </w14:textFill>
        </w:rPr>
        <w:t>认真落实《市级部门（单位）“过紧日子”十三条措施》，</w:t>
      </w:r>
      <w:r>
        <w:rPr>
          <w:rFonts w:hint="eastAsia" w:ascii="仿宋_GB2312" w:hAnsi="仿宋_GB2312" w:eastAsia="仿宋_GB2312" w:cs="仿宋_GB2312"/>
          <w:color w:val="000000" w:themeColor="text1"/>
          <w:kern w:val="0"/>
          <w:sz w:val="32"/>
          <w:szCs w:val="32"/>
          <w14:textFill>
            <w14:solidFill>
              <w14:schemeClr w14:val="tx1"/>
            </w14:solidFill>
          </w14:textFill>
        </w:rPr>
        <w:t>经费支出额度在</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5000</w:t>
      </w:r>
      <w:r>
        <w:rPr>
          <w:rFonts w:hint="eastAsia" w:ascii="仿宋_GB2312" w:hAnsi="仿宋_GB2312" w:eastAsia="仿宋_GB2312" w:cs="仿宋_GB2312"/>
          <w:color w:val="000000" w:themeColor="text1"/>
          <w:kern w:val="0"/>
          <w:sz w:val="32"/>
          <w:szCs w:val="32"/>
          <w14:textFill>
            <w14:solidFill>
              <w14:schemeClr w14:val="tx1"/>
            </w14:solidFill>
          </w14:textFill>
        </w:rPr>
        <w:t>元以上须经党组会集体研究同意后方可开支，项目经费严格在预算范围内开支。严控“三公”经费、会议、培训、差旅、办节办展、办公设备购置、信息网络及软件购置更新、课题经费等8项一般性支出，</w:t>
      </w:r>
      <w:r>
        <w:rPr>
          <w:rFonts w:hint="eastAsia" w:ascii="仿宋_GB2312" w:hAnsi="仿宋_GB2312" w:eastAsia="仿宋_GB2312" w:cs="仿宋_GB2312"/>
          <w:color w:val="000000" w:themeColor="text1"/>
          <w:sz w:val="32"/>
          <w:szCs w:val="32"/>
          <w14:textFill>
            <w14:solidFill>
              <w14:schemeClr w14:val="tx1"/>
            </w14:solidFill>
          </w14:textFill>
        </w:rPr>
        <w:t>2023年此8项一般性支出年初预算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3.3</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较2022年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4.6万元</w:t>
      </w:r>
      <w:r>
        <w:rPr>
          <w:rFonts w:hint="eastAsia" w:ascii="仿宋_GB2312" w:hAnsi="仿宋_GB2312" w:eastAsia="仿宋_GB2312" w:cs="仿宋_GB2312"/>
          <w:color w:val="000000" w:themeColor="text1"/>
          <w:sz w:val="32"/>
          <w:szCs w:val="32"/>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w:t>
      </w:r>
      <w:r>
        <w:rPr>
          <w:rFonts w:hint="eastAsia" w:ascii="仿宋_GB2312" w:hAnsi="仿宋_GB2312" w:eastAsia="仿宋_GB2312" w:cs="仿宋_GB2312"/>
          <w:color w:val="000000" w:themeColor="text1"/>
          <w:sz w:val="32"/>
          <w:szCs w:val="32"/>
          <w14:textFill>
            <w14:solidFill>
              <w14:schemeClr w14:val="tx1"/>
            </w14:solidFill>
          </w14:textFill>
        </w:rPr>
        <w:t>万元，其中三公经费、会议费及差旅费较上年压减超1%，</w:t>
      </w:r>
      <w:r>
        <w:rPr>
          <w:rFonts w:hint="eastAsia" w:ascii="仿宋_GB2312" w:hAnsi="仿宋_GB2312" w:eastAsia="仿宋_GB2312" w:cs="仿宋_GB2312"/>
          <w:color w:val="000000" w:themeColor="text1"/>
          <w:kern w:val="0"/>
          <w:sz w:val="32"/>
          <w:szCs w:val="32"/>
          <w14:textFill>
            <w14:solidFill>
              <w14:schemeClr w14:val="tx1"/>
            </w14:solidFill>
          </w14:textFill>
        </w:rPr>
        <w:t>办节办展、</w:t>
      </w:r>
      <w:r>
        <w:rPr>
          <w:rFonts w:hint="eastAsia" w:ascii="仿宋_GB2312" w:hAnsi="仿宋_GB2312" w:eastAsia="仿宋_GB2312" w:cs="仿宋_GB2312"/>
          <w:color w:val="000000" w:themeColor="text1"/>
          <w:sz w:val="32"/>
          <w:szCs w:val="32"/>
          <w:lang w:eastAsia="zh-CN"/>
          <w14:textFill>
            <w14:solidFill>
              <w14:schemeClr w14:val="tx1"/>
            </w14:solidFill>
          </w14:textFill>
        </w:rPr>
        <w:t>培训费、</w:t>
      </w:r>
      <w:r>
        <w:rPr>
          <w:rFonts w:hint="eastAsia" w:ascii="仿宋_GB2312" w:hAnsi="仿宋_GB2312" w:eastAsia="仿宋_GB2312" w:cs="仿宋_GB2312"/>
          <w:color w:val="000000" w:themeColor="text1"/>
          <w:sz w:val="32"/>
          <w:szCs w:val="32"/>
          <w14:textFill>
            <w14:solidFill>
              <w14:schemeClr w14:val="tx1"/>
            </w14:solidFill>
          </w14:textFill>
        </w:rPr>
        <w:t>办公设备购置、信息网络及软件购置更新、课题经费无变化；一般性支出财政拨款预算执行数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3.3</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4.84</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减</w:t>
      </w:r>
      <w:r>
        <w:rPr>
          <w:rFonts w:hint="eastAsia" w:ascii="仿宋_GB2312" w:hAnsi="仿宋_GB2312" w:eastAsia="仿宋_GB2312" w:cs="仿宋_GB2312"/>
          <w:color w:val="000000" w:themeColor="text1"/>
          <w:sz w:val="32"/>
          <w:szCs w:val="32"/>
          <w:highlight w:val="none"/>
          <w:shd w:val="clear"/>
          <w:lang w:eastAsia="zh-CN"/>
          <w14:textFill>
            <w14:solidFill>
              <w14:schemeClr w14:val="tx1"/>
            </w14:solidFill>
          </w14:textFill>
        </w:rPr>
        <w:t>少</w:t>
      </w:r>
      <w:r>
        <w:rPr>
          <w:rFonts w:hint="eastAsia" w:ascii="仿宋_GB2312" w:hAnsi="仿宋_GB2312" w:eastAsia="仿宋_GB2312" w:cs="仿宋_GB2312"/>
          <w:color w:val="000000" w:themeColor="text1"/>
          <w:sz w:val="32"/>
          <w:szCs w:val="32"/>
          <w:highlight w:val="none"/>
          <w:shd w:val="clear"/>
          <w:lang w:val="en-US" w:eastAsia="zh-CN"/>
          <w14:textFill>
            <w14:solidFill>
              <w14:schemeClr w14:val="tx1"/>
            </w14:solidFill>
          </w14:textFill>
        </w:rPr>
        <w:t>1.54</w:t>
      </w:r>
      <w:r>
        <w:rPr>
          <w:rFonts w:hint="eastAsia" w:ascii="仿宋_GB2312" w:hAnsi="仿宋_GB2312" w:eastAsia="仿宋_GB2312" w:cs="仿宋_GB2312"/>
          <w:color w:val="000000" w:themeColor="text1"/>
          <w:sz w:val="32"/>
          <w:szCs w:val="32"/>
          <w:highlight w:val="none"/>
          <w:shd w:val="clear"/>
          <w14:textFill>
            <w14:solidFill>
              <w14:schemeClr w14:val="tx1"/>
            </w14:solidFill>
          </w14:textFill>
        </w:rPr>
        <w:t>万元</w:t>
      </w:r>
      <w:r>
        <w:rPr>
          <w:rFonts w:hint="eastAsia" w:ascii="仿宋_GB2312" w:hAnsi="仿宋_GB2312" w:eastAsia="仿宋_GB2312" w:cs="仿宋_GB2312"/>
          <w:color w:val="000000" w:themeColor="text1"/>
          <w:sz w:val="32"/>
          <w:szCs w:val="32"/>
          <w14:textFill>
            <w14:solidFill>
              <w14:schemeClr w14:val="tx1"/>
            </w14:solidFill>
          </w14:textFill>
        </w:rPr>
        <w:t>，预算执行数较上年压减超1%。</w:t>
      </w:r>
    </w:p>
    <w:p>
      <w:pPr>
        <w:keepNext w:val="0"/>
        <w:keepLines w:val="0"/>
        <w:pageBreakBefore w:val="0"/>
        <w:kinsoku/>
        <w:wordWrap/>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财务管理。</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2023年</w:t>
      </w:r>
      <w:r>
        <w:rPr>
          <w:rFonts w:hint="eastAsia" w:ascii="仿宋_GB2312" w:hAnsi="仿宋_GB2312" w:eastAsia="仿宋_GB2312" w:cs="仿宋_GB2312"/>
          <w:color w:val="000000" w:themeColor="text1"/>
          <w:kern w:val="0"/>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我</w:t>
      </w:r>
      <w:r>
        <w:rPr>
          <w:rFonts w:hint="eastAsia" w:ascii="仿宋_GB2312" w:hAnsi="仿宋_GB2312" w:eastAsia="仿宋_GB2312" w:cs="仿宋_GB2312"/>
          <w:color w:val="000000" w:themeColor="text1"/>
          <w:kern w:val="0"/>
          <w:sz w:val="32"/>
          <w:szCs w:val="32"/>
          <w:shd w:val="clear" w:color="auto" w:fill="FFFFFF"/>
          <w:lang w:eastAsia="zh-CN"/>
          <w14:textFill>
            <w14:solidFill>
              <w14:schemeClr w14:val="tx1"/>
            </w14:solidFill>
          </w14:textFill>
        </w:rPr>
        <w:t>中心</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修改完善了</w:t>
      </w:r>
      <w:r>
        <w:rPr>
          <w:rFonts w:hint="eastAsia" w:ascii="仿宋_GB2312" w:hAnsi="仿宋_GB2312" w:eastAsia="仿宋_GB2312" w:cs="仿宋_GB2312"/>
          <w:color w:val="000000" w:themeColor="text1"/>
          <w:kern w:val="0"/>
          <w:sz w:val="32"/>
          <w:szCs w:val="32"/>
          <w14:textFill>
            <w14:solidFill>
              <w14:schemeClr w14:val="tx1"/>
            </w14:solidFill>
          </w14:textFill>
        </w:rPr>
        <w:t>《机关财务管理制度（试行）》，合理设置财务工作岗位</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，调整了财务工作人员，</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明确财务人员职责权限，并严格实行不相容岗位分离。</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2023年我</w:t>
      </w:r>
      <w:r>
        <w:rPr>
          <w:rFonts w:hint="eastAsia" w:ascii="仿宋_GB2312" w:hAnsi="仿宋_GB2312" w:eastAsia="仿宋_GB2312" w:cs="仿宋_GB2312"/>
          <w:color w:val="000000" w:themeColor="text1"/>
          <w:kern w:val="0"/>
          <w:sz w:val="32"/>
          <w:szCs w:val="32"/>
          <w:shd w:val="clear" w:color="auto" w:fill="FFFFFF"/>
          <w:lang w:eastAsia="zh-CN"/>
          <w14:textFill>
            <w14:solidFill>
              <w14:schemeClr w14:val="tx1"/>
            </w14:solidFill>
          </w14:textFill>
        </w:rPr>
        <w:t>中心</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财政资金均按预算用途运用，支出真实合规，无截留、挤占和挪用的行为。</w:t>
      </w:r>
    </w:p>
    <w:p>
      <w:pPr>
        <w:keepNext w:val="0"/>
        <w:keepLines w:val="0"/>
        <w:pageBreakBefore w:val="0"/>
        <w:kinsoku/>
        <w:wordWrap/>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资产管理。我中心 202</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 xml:space="preserve"> 年年末总资产账面价值</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23.23</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万元，其中：流动资产账面价值</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0.98</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万元，固定资产账面价值</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85.74</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万元，资产使用率100%，无闲置资产；无在建工程。</w:t>
      </w:r>
    </w:p>
    <w:p>
      <w:pPr>
        <w:keepNext w:val="0"/>
        <w:keepLines w:val="0"/>
        <w:pageBreakBefore w:val="0"/>
        <w:kinsoku/>
        <w:wordWrap/>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我中心 202</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 xml:space="preserve"> 年处置固定资产账面价值</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27.68</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万元，其中无偿调拨（划转）</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11.68</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万元；报废报损</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16</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 xml:space="preserve"> 万元。</w:t>
      </w:r>
    </w:p>
    <w:p>
      <w:pPr>
        <w:keepNext w:val="0"/>
        <w:keepLines w:val="0"/>
        <w:pageBreakBefore w:val="0"/>
        <w:kinsoku/>
        <w:wordWrap/>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市以工代赈事务中心资产配置均严格按照省、市财政部门要求厉行节约、合理配置，账实相符，资产使用管理规范、保管完整，运行安全。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采购管理。市中心始终坚持</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有预算才有采购，先申请后购买的原则开展采购工作，凡属政府集中采购范围的，必须按相关采购制度执行；不属于集中采购范围的，按市中心内控管理程序开展。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2023年，市以工代赈事务中心安排政府采购预算0.29万元，主要用于档案室空调采购，采购方均以支持中小微型企业发展为主，</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采购执行率</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100%</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（二）部门预算项目绩效分析</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0"/>
          <w:sz w:val="32"/>
          <w:szCs w:val="32"/>
          <w:shd w:val="clear" w:color="auto" w:fill="FFFFFF"/>
          <w:lang w:val="zh-CN" w:eastAsia="zh-CN" w:bidi="ar-SA"/>
          <w14:textFill>
            <w14:solidFill>
              <w14:schemeClr w14:val="tx1"/>
            </w14:solidFill>
          </w14:textFill>
        </w:rPr>
        <w:t>项目决策。按照市财政局全面实施预算绩效管理相关规定及要求，我中心年初在申报项目经费前，均开展了项目申报及绩效管理业务培训，并根据单位职能职责和科室分工，由科室填报项目支出绩效目标申</w:t>
      </w:r>
      <w:r>
        <w:rPr>
          <w:rFonts w:hint="eastAsia" w:ascii="仿宋_GB2312" w:hAnsi="仿宋_GB2312" w:eastAsia="仿宋_GB2312" w:cs="仿宋_GB2312"/>
          <w:color w:val="000000" w:themeColor="text1"/>
          <w:sz w:val="32"/>
          <w:szCs w:val="32"/>
          <w14:textFill>
            <w14:solidFill>
              <w14:schemeClr w14:val="tx1"/>
            </w14:solidFill>
          </w14:textFill>
        </w:rPr>
        <w:t>报表，</w:t>
      </w:r>
      <w:r>
        <w:rPr>
          <w:rFonts w:hint="eastAsia" w:ascii="仿宋_GB2312" w:hAnsi="仿宋_GB2312" w:eastAsia="仿宋_GB2312" w:cs="仿宋_GB2312"/>
          <w:color w:val="000000" w:themeColor="text1"/>
          <w:sz w:val="32"/>
          <w:szCs w:val="32"/>
          <w:lang w:eastAsia="zh-CN"/>
          <w14:textFill>
            <w14:solidFill>
              <w14:schemeClr w14:val="tx1"/>
            </w14:solidFill>
          </w14:textFill>
        </w:rPr>
        <w:t>提出</w:t>
      </w:r>
      <w:r>
        <w:rPr>
          <w:rFonts w:hint="eastAsia" w:ascii="仿宋_GB2312" w:hAnsi="仿宋_GB2312" w:eastAsia="仿宋_GB2312" w:cs="仿宋_GB2312"/>
          <w:color w:val="000000" w:themeColor="text1"/>
          <w:sz w:val="32"/>
          <w:szCs w:val="32"/>
          <w14:textFill>
            <w14:solidFill>
              <w14:schemeClr w14:val="tx1"/>
            </w14:solidFill>
          </w14:textFill>
        </w:rPr>
        <w:t>本年度资金需求额度</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年度总体目标</w:t>
      </w:r>
      <w:r>
        <w:rPr>
          <w:rFonts w:hint="eastAsia" w:ascii="仿宋_GB2312" w:hAnsi="仿宋_GB2312" w:eastAsia="仿宋_GB2312" w:cs="仿宋_GB2312"/>
          <w:color w:val="000000" w:themeColor="text1"/>
          <w:sz w:val="32"/>
          <w:szCs w:val="32"/>
          <w:lang w:eastAsia="zh-CN"/>
          <w14:textFill>
            <w14:solidFill>
              <w14:schemeClr w14:val="tx1"/>
            </w14:solidFill>
          </w14:textFill>
        </w:rPr>
        <w:t>和绩效指标值，由综合科汇总后经党组会议集体研究后报财政局审批</w:t>
      </w:r>
      <w:r>
        <w:rPr>
          <w:rFonts w:hint="eastAsia" w:ascii="仿宋_GB2312" w:hAnsi="仿宋_GB2312" w:eastAsia="仿宋_GB2312" w:cs="仿宋_GB2312"/>
          <w:color w:val="000000" w:themeColor="text1"/>
          <w:sz w:val="32"/>
          <w:szCs w:val="32"/>
          <w14:textFill>
            <w14:solidFill>
              <w14:schemeClr w14:val="tx1"/>
            </w14:solidFill>
          </w14:textFill>
        </w:rPr>
        <w:t>。待财政部门审批后根据审批的项目绩效目标申报表</w:t>
      </w:r>
      <w:r>
        <w:rPr>
          <w:rFonts w:hint="eastAsia" w:ascii="仿宋_GB2312" w:hAnsi="仿宋_GB2312" w:eastAsia="仿宋_GB2312" w:cs="仿宋_GB2312"/>
          <w:color w:val="000000" w:themeColor="text1"/>
          <w:sz w:val="32"/>
          <w:szCs w:val="32"/>
          <w:lang w:eastAsia="zh-CN"/>
          <w14:textFill>
            <w14:solidFill>
              <w14:schemeClr w14:val="tx1"/>
            </w14:solidFill>
          </w14:textFill>
        </w:rPr>
        <w:t>在规定的时间内进行</w:t>
      </w:r>
      <w:r>
        <w:rPr>
          <w:rFonts w:hint="eastAsia" w:ascii="仿宋_GB2312" w:hAnsi="仿宋_GB2312" w:eastAsia="仿宋_GB2312" w:cs="仿宋_GB2312"/>
          <w:color w:val="000000" w:themeColor="text1"/>
          <w:sz w:val="32"/>
          <w:szCs w:val="32"/>
          <w14:textFill>
            <w14:solidFill>
              <w14:schemeClr w14:val="tx1"/>
            </w14:solidFill>
          </w14:textFill>
        </w:rPr>
        <w:t>项目登记、入库。</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b w:val="0"/>
          <w:bCs w:val="0"/>
          <w:color w:val="000000" w:themeColor="text1"/>
          <w:sz w:val="32"/>
          <w:szCs w:val="32"/>
          <w:lang w:val="en-US"/>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2.项目执行</w:t>
      </w:r>
      <w:r>
        <w:rPr>
          <w:rFonts w:hint="eastAsia" w:ascii="仿宋_GB2312" w:hAnsi="仿宋_GB2312" w:eastAsia="仿宋_GB2312" w:cs="仿宋_GB2312"/>
          <w:b w:val="0"/>
          <w:bCs w:val="0"/>
          <w:color w:val="000000" w:themeColor="text1"/>
          <w:sz w:val="32"/>
          <w:szCs w:val="32"/>
          <w:highlight w:val="none"/>
          <w:u w:val="none"/>
          <w:lang w:val="zh-CN"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shd w:val="clear" w:color="auto" w:fill="FFFFFF"/>
          <w:lang w:val="zh-CN" w:eastAsia="zh-CN" w:bidi="ar-SA"/>
          <w14:textFill>
            <w14:solidFill>
              <w14:schemeClr w14:val="tx1"/>
            </w14:solidFill>
          </w14:textFill>
        </w:rPr>
        <w:t>市以工代赈事务中心年初预算特定类项目</w:t>
      </w:r>
      <w:r>
        <w:rPr>
          <w:rFonts w:hint="eastAsia" w:ascii="仿宋_GB2312" w:hAnsi="仿宋_GB2312" w:eastAsia="仿宋_GB2312" w:cs="仿宋_GB2312"/>
          <w:color w:val="000000" w:themeColor="text1"/>
          <w:kern w:val="0"/>
          <w:sz w:val="32"/>
          <w:szCs w:val="32"/>
          <w:shd w:val="clear" w:color="auto" w:fill="FFFFFF"/>
          <w:lang w:val="en-US" w:eastAsia="zh-CN" w:bidi="ar-SA"/>
          <w14:textFill>
            <w14:solidFill>
              <w14:schemeClr w14:val="tx1"/>
            </w14:solidFill>
          </w14:textFill>
        </w:rPr>
        <w:t>5</w:t>
      </w:r>
      <w:r>
        <w:rPr>
          <w:rFonts w:hint="eastAsia" w:ascii="仿宋_GB2312" w:hAnsi="仿宋_GB2312" w:eastAsia="仿宋_GB2312" w:cs="仿宋_GB2312"/>
          <w:color w:val="000000" w:themeColor="text1"/>
          <w:kern w:val="0"/>
          <w:sz w:val="32"/>
          <w:szCs w:val="32"/>
          <w:shd w:val="clear" w:color="auto" w:fill="FFFFFF"/>
          <w:lang w:val="zh-CN" w:eastAsia="zh-CN" w:bidi="ar-SA"/>
          <w14:textFill>
            <w14:solidFill>
              <w14:schemeClr w14:val="tx1"/>
            </w14:solidFill>
          </w14:textFill>
        </w:rPr>
        <w:t>个，涉及预算总金额</w:t>
      </w:r>
      <w:r>
        <w:rPr>
          <w:rFonts w:hint="eastAsia" w:ascii="仿宋_GB2312" w:hAnsi="仿宋_GB2312" w:eastAsia="仿宋_GB2312" w:cs="仿宋_GB2312"/>
          <w:color w:val="000000" w:themeColor="text1"/>
          <w:kern w:val="0"/>
          <w:sz w:val="32"/>
          <w:szCs w:val="32"/>
          <w:shd w:val="clear" w:color="auto" w:fill="FFFFFF"/>
          <w:lang w:val="en-US" w:eastAsia="zh-CN" w:bidi="ar-SA"/>
          <w14:textFill>
            <w14:solidFill>
              <w14:schemeClr w14:val="tx1"/>
            </w14:solidFill>
          </w14:textFill>
        </w:rPr>
        <w:t>68.02</w:t>
      </w:r>
      <w:r>
        <w:rPr>
          <w:rFonts w:hint="eastAsia" w:ascii="仿宋_GB2312" w:hAnsi="仿宋_GB2312" w:eastAsia="仿宋_GB2312" w:cs="仿宋_GB2312"/>
          <w:color w:val="000000" w:themeColor="text1"/>
          <w:kern w:val="0"/>
          <w:sz w:val="32"/>
          <w:szCs w:val="32"/>
          <w:shd w:val="clear" w:color="auto" w:fill="FFFFFF"/>
          <w:lang w:val="zh-CN" w:eastAsia="zh-CN" w:bidi="ar-SA"/>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年中，市财政追加全国以工代赈现场会工作经费和易地扶贫搬迁后续扶持工作及时奖励资金项目2个，资金33.62万元，为专项资金预算项目。</w:t>
      </w:r>
      <w:r>
        <w:rPr>
          <w:rFonts w:hint="eastAsia" w:ascii="仿宋_GB2312" w:hAnsi="仿宋_GB2312" w:eastAsia="仿宋_GB2312" w:cs="仿宋_GB2312"/>
          <w:color w:val="000000" w:themeColor="text1"/>
          <w:kern w:val="0"/>
          <w:sz w:val="32"/>
          <w:szCs w:val="32"/>
          <w:shd w:val="clear" w:color="auto" w:fill="FFFFFF"/>
          <w:lang w:val="zh-CN" w:eastAsia="zh-CN" w:bidi="ar-SA"/>
          <w14:textFill>
            <w14:solidFill>
              <w14:schemeClr w14:val="tx1"/>
            </w14:solidFill>
          </w14:textFill>
        </w:rPr>
        <w:t>项目在实施过程中</w:t>
      </w:r>
      <w:r>
        <w:rPr>
          <w:rFonts w:hint="eastAsia" w:ascii="仿宋_GB2312" w:hAnsi="仿宋_GB2312" w:eastAsia="仿宋_GB2312" w:cs="仿宋_GB2312"/>
          <w:color w:val="000000" w:themeColor="text1"/>
          <w:sz w:val="32"/>
          <w:szCs w:val="32"/>
          <w:lang w:eastAsia="zh-CN"/>
          <w14:textFill>
            <w14:solidFill>
              <w14:schemeClr w14:val="tx1"/>
            </w14:solidFill>
          </w14:textFill>
        </w:rPr>
        <w:t>未进行调整，</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所有项目资金均在年度内全部实现支出，支付率100%，无资金结余和违规记录。</w:t>
      </w:r>
    </w:p>
    <w:p>
      <w:pPr>
        <w:keepNext w:val="0"/>
        <w:keepLines w:val="0"/>
        <w:pageBreakBefore w:val="0"/>
        <w:widowControl w:val="0"/>
        <w:kinsoku/>
        <w:wordWrap/>
        <w:overflowPunct/>
        <w:topLinePunct w:val="0"/>
        <w:autoSpaceDE/>
        <w:autoSpaceDN/>
        <w:bidi w:val="0"/>
        <w:adjustRightInd/>
        <w:snapToGrid/>
        <w:spacing w:beforeAutospacing="0" w:afterAutospacing="0" w:line="550" w:lineRule="exact"/>
        <w:ind w:firstLine="640" w:firstLineChars="200"/>
        <w:jc w:val="both"/>
        <w:textAlignment w:val="auto"/>
        <w:rPr>
          <w:rFonts w:hint="eastAsia" w:ascii="仿宋_GB2312" w:hAnsi="仿宋_GB2312" w:eastAsia="仿宋_GB2312" w:cs="仿宋_GB2312"/>
          <w:color w:val="000000" w:themeColor="text1"/>
          <w:sz w:val="32"/>
          <w:szCs w:val="32"/>
          <w:lang w:val="en-US" w:bidi="ar-SA"/>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sz w:val="32"/>
          <w:szCs w:val="32"/>
          <w:highlight w:val="none"/>
          <w:u w:val="none"/>
          <w:lang w:val="zh-CN" w:eastAsia="zh-CN"/>
          <w14:textFill>
            <w14:solidFill>
              <w14:schemeClr w14:val="tx1"/>
            </w14:solidFill>
          </w14:textFill>
        </w:rPr>
        <w:t>目标实现。</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2023年，</w:t>
      </w:r>
      <w:r>
        <w:rPr>
          <w:rFonts w:hint="eastAsia" w:ascii="仿宋_GB2312" w:hAnsi="仿宋_GB2312" w:eastAsia="仿宋_GB2312" w:cs="仿宋_GB2312"/>
          <w:color w:val="000000" w:themeColor="text1"/>
          <w:kern w:val="0"/>
          <w:sz w:val="32"/>
          <w:szCs w:val="32"/>
          <w:shd w:val="clear" w:color="auto" w:fill="FFFFFF"/>
          <w:lang w:val="zh-CN" w:eastAsia="zh-CN" w:bidi="ar-SA"/>
          <w14:textFill>
            <w14:solidFill>
              <w14:schemeClr w14:val="tx1"/>
            </w14:solidFill>
          </w14:textFill>
        </w:rPr>
        <w:t>市以工代赈事务中心年初预算特定类项目</w:t>
      </w:r>
      <w:r>
        <w:rPr>
          <w:rFonts w:hint="eastAsia" w:ascii="仿宋_GB2312" w:hAnsi="仿宋_GB2312" w:eastAsia="仿宋_GB2312" w:cs="仿宋_GB2312"/>
          <w:color w:val="000000" w:themeColor="text1"/>
          <w:kern w:val="0"/>
          <w:sz w:val="32"/>
          <w:szCs w:val="32"/>
          <w:shd w:val="clear" w:color="auto" w:fill="FFFFFF"/>
          <w:lang w:val="en-US" w:eastAsia="zh-CN" w:bidi="ar-SA"/>
          <w14:textFill>
            <w14:solidFill>
              <w14:schemeClr w14:val="tx1"/>
            </w14:solidFill>
          </w14:textFill>
        </w:rPr>
        <w:t>5</w:t>
      </w:r>
      <w:r>
        <w:rPr>
          <w:rFonts w:hint="eastAsia" w:ascii="仿宋_GB2312" w:hAnsi="仿宋_GB2312" w:eastAsia="仿宋_GB2312" w:cs="仿宋_GB2312"/>
          <w:color w:val="000000" w:themeColor="text1"/>
          <w:kern w:val="0"/>
          <w:sz w:val="32"/>
          <w:szCs w:val="32"/>
          <w:shd w:val="clear" w:color="auto" w:fill="FFFFFF"/>
          <w:lang w:val="zh-CN" w:eastAsia="zh-CN" w:bidi="ar-SA"/>
          <w14:textFill>
            <w14:solidFill>
              <w14:schemeClr w14:val="tx1"/>
            </w14:solidFill>
          </w14:textFill>
        </w:rPr>
        <w:t>个，分别为以工代赈项目管理工作经费、档案室设备采购项目经费、易地搬迁后续扶持及消费帮扶工作经费、乡村振兴工作专项经费和争取项目资金工作经费，</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5个项目绩效指标在规定时间内全部完成，满意率均达90%以上。</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楷体_GB2312" w:hAnsi="楷体_GB2312" w:eastAsia="楷体_GB2312" w:cs="楷体_GB2312"/>
          <w:b w:val="0"/>
          <w:bCs w:val="0"/>
          <w:color w:val="000000" w:themeColor="text1"/>
          <w:kern w:val="0"/>
          <w:sz w:val="32"/>
          <w:szCs w:val="32"/>
          <w:shd w:val="clear" w:color="auto" w:fill="FFFFFF"/>
          <w:lang w:val="zh-CN" w:eastAsia="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（三）</w:t>
      </w:r>
      <w:r>
        <w:rPr>
          <w:rFonts w:hint="eastAsia" w:ascii="楷体_GB2312" w:hAnsi="楷体_GB2312" w:eastAsia="楷体_GB2312" w:cs="楷体_GB2312"/>
          <w:b w:val="0"/>
          <w:bCs w:val="0"/>
          <w:color w:val="000000" w:themeColor="text1"/>
          <w:kern w:val="0"/>
          <w:sz w:val="32"/>
          <w:szCs w:val="32"/>
          <w:shd w:val="clear" w:color="auto" w:fill="FFFFFF"/>
          <w:lang w:val="zh-CN" w:eastAsia="zh-CN"/>
          <w14:textFill>
            <w14:solidFill>
              <w14:schemeClr w14:val="tx1"/>
            </w14:solidFill>
          </w14:textFill>
        </w:rPr>
        <w:t>重点领域</w:t>
      </w: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绩效分析</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行政事业性国有资产绩效自评</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市以工代赈事务中心</w:t>
      </w:r>
      <w:r>
        <w:rPr>
          <w:rFonts w:hint="eastAsia" w:ascii="仿宋_GB2312" w:hAnsi="仿宋_GB2312" w:eastAsia="仿宋_GB2312" w:cs="仿宋_GB2312"/>
          <w:color w:val="000000" w:themeColor="text1"/>
          <w:sz w:val="32"/>
          <w:szCs w:val="32"/>
          <w14:textFill>
            <w14:solidFill>
              <w14:schemeClr w14:val="tx1"/>
            </w14:solidFill>
          </w14:textFill>
        </w:rPr>
        <w:t>按“谁用谁管谁负责”的原则，各科室对其使用的资产负责</w:t>
      </w:r>
      <w:r>
        <w:rPr>
          <w:rFonts w:hint="eastAsia" w:ascii="仿宋_GB2312" w:hAnsi="仿宋_GB2312" w:eastAsia="仿宋_GB2312" w:cs="仿宋_GB2312"/>
          <w:color w:val="000000" w:themeColor="text1"/>
          <w:sz w:val="32"/>
          <w:szCs w:val="32"/>
          <w:lang w:eastAsia="zh-CN"/>
          <w14:textFill>
            <w14:solidFill>
              <w14:schemeClr w14:val="tx1"/>
            </w14:solidFill>
          </w14:textFill>
        </w:rPr>
        <w:t>，综合科</w:t>
      </w:r>
      <w:r>
        <w:rPr>
          <w:rFonts w:hint="eastAsia" w:ascii="仿宋_GB2312" w:hAnsi="仿宋_GB2312" w:eastAsia="仿宋_GB2312" w:cs="仿宋_GB2312"/>
          <w:color w:val="000000" w:themeColor="text1"/>
          <w:sz w:val="32"/>
          <w:szCs w:val="32"/>
          <w14:textFill>
            <w14:solidFill>
              <w14:schemeClr w14:val="tx1"/>
            </w14:solidFill>
          </w14:textFill>
        </w:rPr>
        <w:t>负责督促各科室加强固定资产管理。</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严格做好资产登记台账管理，资产使用者登</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记到科室到人，切</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实加强资产的实物管理。及时做好资产信息管理系统更新</w:t>
      </w:r>
      <w:r>
        <w:rPr>
          <w:rFonts w:hint="eastAsia" w:ascii="仿宋_GB2312" w:hAnsi="仿宋_GB2312" w:eastAsia="仿宋_GB2312" w:cs="仿宋_GB2312"/>
          <w:color w:val="000000" w:themeColor="text1"/>
          <w:kern w:val="0"/>
          <w:sz w:val="32"/>
          <w:szCs w:val="32"/>
          <w14:textFill>
            <w14:solidFill>
              <w14:schemeClr w14:val="tx1"/>
            </w14:solidFill>
          </w14:textFill>
        </w:rPr>
        <w:t>，做到账账相符、账实相符，</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实现对资产的动态管理。定期或者不定期的对资产进行账务清理、对实物进行清查盘点，</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2023年，我中心对资产进行了全面清理，对调出的资产进行了划拨，对</w:t>
      </w:r>
      <w:r>
        <w:rPr>
          <w:rFonts w:hint="eastAsia" w:ascii="仿宋_GB2312" w:hAnsi="仿宋_GB2312" w:eastAsia="仿宋_GB2312" w:cs="仿宋_GB2312"/>
          <w:color w:val="000000" w:themeColor="text1"/>
          <w:sz w:val="32"/>
          <w:szCs w:val="32"/>
          <w14:textFill>
            <w14:solidFill>
              <w14:schemeClr w14:val="tx1"/>
            </w14:solidFill>
          </w14:textFill>
        </w:rPr>
        <w:t>超过最低使用年限，陈旧老化，已经无法正常使用</w:t>
      </w:r>
      <w:r>
        <w:rPr>
          <w:rFonts w:hint="eastAsia" w:ascii="仿宋_GB2312" w:hAnsi="仿宋_GB2312" w:eastAsia="仿宋_GB2312" w:cs="仿宋_GB2312"/>
          <w:color w:val="000000" w:themeColor="text1"/>
          <w:sz w:val="32"/>
          <w:szCs w:val="32"/>
          <w:lang w:eastAsia="zh-CN"/>
          <w14:textFill>
            <w14:solidFill>
              <w14:schemeClr w14:val="tx1"/>
            </w14:solidFill>
          </w14:textFill>
        </w:rPr>
        <w:t>的资产进行了报废处理。</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2023</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年度资产保存完整，资产配置合理、使用合规、处置规范，在各类巡视、审计、监督检查工作中未发现资产管理存在问题。</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2.政府采购。2023年，市以工代赈事务中心安排政府采购预算0.29万元，主要用于档案室空调采购。市中心严格按照采购流程，按时完成了采购任务，职工满意度达95%以上。采购方均以支持中小型企业发展为主，</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采购执行率</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100%</w:t>
      </w:r>
      <w:r>
        <w:rPr>
          <w:rFonts w:hint="eastAsia" w:ascii="仿宋_GB2312" w:hAnsi="仿宋_GB2312" w:eastAsia="仿宋_GB2312" w:cs="仿宋_GB2312"/>
          <w:color w:val="000000" w:themeColor="text1"/>
          <w:kern w:val="0"/>
          <w:sz w:val="32"/>
          <w:szCs w:val="32"/>
          <w:highlight w:val="none"/>
          <w:shd w:val="clear" w:color="auto" w:fill="FFFFFF"/>
          <w:lang w:val="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（四）绩效结果应用情况。</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按照《广元市市级财政预算结果应用管理办法》相关规定和要求，我中心在年初预算公开的同时将绩效目标同步在政府门户网站、市财政局网站上公开，接受社会监督。</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2023年</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我中心无项目经费绩效指标整改情况。</w:t>
      </w:r>
    </w:p>
    <w:p>
      <w:pPr>
        <w:keepNext w:val="0"/>
        <w:keepLines w:val="0"/>
        <w:pageBreakBefore w:val="0"/>
        <w:widowControl/>
        <w:numPr>
          <w:ilvl w:val="0"/>
          <w:numId w:val="0"/>
        </w:numPr>
        <w:kinsoku/>
        <w:wordWrap/>
        <w:overflowPunct/>
        <w:topLinePunct w:val="0"/>
        <w:autoSpaceDE/>
        <w:autoSpaceDN/>
        <w:bidi w:val="0"/>
        <w:adjustRightInd w:val="0"/>
        <w:snapToGrid w:val="0"/>
        <w:spacing w:line="550" w:lineRule="exact"/>
        <w:ind w:firstLine="640" w:firstLineChars="200"/>
        <w:contextualSpacing/>
        <w:jc w:val="both"/>
        <w:textAlignment w:val="auto"/>
        <w:outlineLvl w:val="9"/>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四、</w:t>
      </w:r>
      <w:r>
        <w:rPr>
          <w:rFonts w:hint="eastAsia" w:ascii="黑体" w:hAnsi="黑体" w:eastAsia="黑体" w:cs="黑体"/>
          <w:b w:val="0"/>
          <w:bCs w:val="0"/>
          <w:color w:val="000000" w:themeColor="text1"/>
          <w:sz w:val="32"/>
          <w:szCs w:val="32"/>
          <w14:textFill>
            <w14:solidFill>
              <w14:schemeClr w14:val="tx1"/>
            </w14:solidFill>
          </w14:textFill>
        </w:rPr>
        <w:t>评价结论及建议</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（一）评价结论</w:t>
      </w:r>
    </w:p>
    <w:p>
      <w:pPr>
        <w:keepNext w:val="0"/>
        <w:keepLines w:val="0"/>
        <w:pageBreakBefore w:val="0"/>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shd w:val="clear" w:color="auto" w:fill="FFFFFF"/>
          <w:lang w:val="zh-CN"/>
          <w14:textFill>
            <w14:solidFill>
              <w14:schemeClr w14:val="tx1"/>
            </w14:solidFill>
          </w14:textFill>
        </w:rPr>
        <w:t>经自评，我中心</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202</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3年部门</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年整体支出绩效评价得分</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95.38</w:t>
      </w:r>
      <w:r>
        <w:rPr>
          <w:rFonts w:hint="eastAsia" w:ascii="仿宋_GB2312" w:hAnsi="仿宋_GB2312" w:eastAsia="仿宋_GB2312" w:cs="仿宋_GB2312"/>
          <w:color w:val="000000" w:themeColor="text1"/>
          <w:kern w:val="0"/>
          <w:sz w:val="32"/>
          <w:szCs w:val="32"/>
          <w:shd w:val="clear" w:color="auto" w:fill="FFFFFF"/>
          <w:lang w:val="zh-CN"/>
          <w14:textFill>
            <w14:solidFill>
              <w14:schemeClr w14:val="tx1"/>
            </w14:solidFill>
          </w14:textFill>
        </w:rPr>
        <w:t>分，其中：总体绩效得分</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60.38</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分</w:t>
      </w:r>
      <w:r>
        <w:rPr>
          <w:rFonts w:hint="eastAsia" w:ascii="仿宋_GB2312" w:hAnsi="仿宋_GB2312" w:eastAsia="仿宋_GB2312" w:cs="仿宋_GB2312"/>
          <w:color w:val="000000" w:themeColor="text1"/>
          <w:kern w:val="0"/>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项目绩效</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35分</w:t>
      </w:r>
      <w:r>
        <w:rPr>
          <w:rFonts w:hint="eastAsia" w:ascii="仿宋_GB2312" w:hAnsi="仿宋_GB2312" w:eastAsia="仿宋_GB2312" w:cs="仿宋_GB2312"/>
          <w:color w:val="000000" w:themeColor="text1"/>
          <w:kern w:val="0"/>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无扣分项。</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14:textFill>
            <w14:solidFill>
              <w14:schemeClr w14:val="tx1"/>
            </w14:solidFill>
          </w14:textFill>
        </w:rPr>
        <w:t>（二）存在问题</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b w:val="0"/>
          <w:bCs w:val="0"/>
          <w:color w:val="000000" w:themeColor="text1"/>
          <w:kern w:val="0"/>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shd w:val="clear" w:color="auto" w:fill="FFFFFF"/>
          <w:lang w:eastAsia="zh-CN"/>
          <w14:textFill>
            <w14:solidFill>
              <w14:schemeClr w14:val="tx1"/>
            </w14:solidFill>
          </w14:textFill>
        </w:rPr>
        <w:t>一是预算编制水平还有待加强；二是预算执行率还有差距，</w:t>
      </w:r>
      <w:r>
        <w:rPr>
          <w:rFonts w:hint="eastAsia" w:ascii="仿宋_GB2312" w:hAnsi="仿宋_GB2312" w:eastAsia="仿宋_GB2312" w:cs="仿宋_GB2312"/>
          <w:b w:val="0"/>
          <w:bCs w:val="0"/>
          <w:color w:val="000000" w:themeColor="text1"/>
          <w:kern w:val="0"/>
          <w:sz w:val="32"/>
          <w:szCs w:val="32"/>
          <w:shd w:val="clear" w:color="auto" w:fill="FFFFFF"/>
          <w:lang w:val="en-US" w:eastAsia="zh-CN"/>
          <w14:textFill>
            <w14:solidFill>
              <w14:schemeClr w14:val="tx1"/>
            </w14:solidFill>
          </w14:textFill>
        </w:rPr>
        <w:t>6月、10月进度未达到规定时序。</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楷体_GB2312" w:hAnsi="楷体_GB2312" w:eastAsia="楷体_GB2312" w:cs="楷体_GB2312"/>
          <w:b w:val="0"/>
          <w:bCs w:val="0"/>
          <w:color w:val="000000" w:themeColor="text1"/>
          <w:kern w:val="0"/>
          <w:sz w:val="32"/>
          <w:szCs w:val="32"/>
          <w:shd w:val="clear" w:color="auto" w:fill="FFFFFF"/>
          <w:lang w:val="zh-CN" w:eastAsia="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color="auto" w:fill="FFFFFF"/>
          <w:lang w:val="zh-CN" w:eastAsia="zh-CN"/>
          <w14:textFill>
            <w14:solidFill>
              <w14:schemeClr w14:val="tx1"/>
            </w14:solidFill>
          </w14:textFill>
        </w:rPr>
        <w:t>（三）改进建议</w:t>
      </w:r>
    </w:p>
    <w:p>
      <w:pPr>
        <w:keepNext w:val="0"/>
        <w:keepLines w:val="0"/>
        <w:pageBreakBefore w:val="0"/>
        <w:widowControl/>
        <w:numPr>
          <w:ilvl w:val="0"/>
          <w:numId w:val="0"/>
        </w:numPr>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b w:val="0"/>
          <w:bCs w:val="0"/>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shd w:val="clear" w:color="auto" w:fill="FFFFFF"/>
          <w:lang w:val="zh-CN"/>
          <w14:textFill>
            <w14:solidFill>
              <w14:schemeClr w14:val="tx1"/>
            </w14:solidFill>
          </w14:textFill>
        </w:rPr>
        <w:t>一是科学合理编制预算，加强预算编制的前瞻性，</w:t>
      </w:r>
      <w:r>
        <w:rPr>
          <w:rFonts w:hint="eastAsia" w:ascii="仿宋_GB2312" w:hAnsi="仿宋_GB2312" w:eastAsia="仿宋_GB2312" w:cs="仿宋_GB2312"/>
          <w:b w:val="0"/>
          <w:bCs w:val="0"/>
          <w:color w:val="000000" w:themeColor="text1"/>
          <w:kern w:val="0"/>
          <w:sz w:val="32"/>
          <w:szCs w:val="32"/>
          <w:shd w:val="clear" w:color="auto" w:fill="FFFFFF"/>
          <w14:textFill>
            <w14:solidFill>
              <w14:schemeClr w14:val="tx1"/>
            </w14:solidFill>
          </w14:textFill>
        </w:rPr>
        <w:t>保障工作顺利推进</w:t>
      </w:r>
      <w:r>
        <w:rPr>
          <w:rFonts w:hint="eastAsia" w:ascii="仿宋_GB2312" w:hAnsi="仿宋_GB2312" w:eastAsia="仿宋_GB2312" w:cs="仿宋_GB2312"/>
          <w:b w:val="0"/>
          <w:bCs w:val="0"/>
          <w:color w:val="000000" w:themeColor="text1"/>
          <w:kern w:val="0"/>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32"/>
          <w:szCs w:val="32"/>
          <w:shd w:val="clear" w:color="auto" w:fill="FFFFFF"/>
          <w14:textFill>
            <w14:solidFill>
              <w14:schemeClr w14:val="tx1"/>
            </w14:solidFill>
          </w14:textFill>
        </w:rPr>
        <w:t>二是</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在日常预算管理过程中，进一步加强支出的审核、跟踪及预算执行情况分析，</w:t>
      </w:r>
      <w:r>
        <w:rPr>
          <w:rFonts w:hint="eastAsia" w:ascii="仿宋_GB2312" w:hAnsi="仿宋_GB2312" w:eastAsia="仿宋_GB2312" w:cs="仿宋_GB2312"/>
          <w:b w:val="0"/>
          <w:bCs w:val="0"/>
          <w:color w:val="000000" w:themeColor="text1"/>
          <w:kern w:val="0"/>
          <w:sz w:val="32"/>
          <w:szCs w:val="32"/>
          <w:shd w:val="clear" w:color="auto" w:fill="FFFFFF"/>
          <w:lang w:eastAsia="zh-CN"/>
          <w14:textFill>
            <w14:solidFill>
              <w14:schemeClr w14:val="tx1"/>
            </w14:solidFill>
          </w14:textFill>
        </w:rPr>
        <w:t>加大绩效监控力度，加快资金支付进度，确保达到规定时序</w:t>
      </w:r>
      <w:r>
        <w:rPr>
          <w:rFonts w:hint="eastAsia" w:ascii="仿宋_GB2312" w:hAnsi="仿宋_GB2312" w:eastAsia="仿宋_GB2312" w:cs="仿宋_GB2312"/>
          <w:b w:val="0"/>
          <w:bCs w:val="0"/>
          <w:color w:val="000000" w:themeColor="text1"/>
          <w:kern w:val="0"/>
          <w:sz w:val="32"/>
          <w:szCs w:val="32"/>
          <w:shd w:val="clear" w:color="auto" w:fill="FFFFFF"/>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50" w:lineRule="exact"/>
        <w:ind w:firstLine="640" w:firstLineChars="200"/>
        <w:contextualSpacing/>
        <w:jc w:val="both"/>
        <w:textAlignment w:val="auto"/>
        <w:rPr>
          <w:rFonts w:hint="eastAsia" w:ascii="仿宋_GB2312" w:hAnsi="仿宋_GB2312" w:eastAsia="仿宋_GB2312" w:cs="仿宋_GB2312"/>
          <w:b w:val="0"/>
          <w:bCs w:val="0"/>
          <w:color w:val="000000" w:themeColor="text1"/>
          <w:kern w:val="0"/>
          <w:sz w:val="32"/>
          <w:szCs w:val="32"/>
          <w:shd w:val="clear" w:color="auto" w:fill="FFFFFF"/>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附件：部门预算项目支出绩效自评表（2023年度）</w:t>
      </w: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4800" w:firstLineChars="1500"/>
        <w:jc w:val="both"/>
        <w:textAlignment w:val="auto"/>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sectPr>
          <w:footerReference r:id="rId7" w:type="default"/>
          <w:pgSz w:w="11906" w:h="16838"/>
          <w:pgMar w:top="2098" w:right="1474" w:bottom="1984" w:left="1587" w:header="851" w:footer="1531" w:gutter="0"/>
          <w:pgNumType w:fmt="decimal" w:start="1"/>
          <w:cols w:space="0" w:num="1"/>
          <w:rtlGutter w:val="0"/>
          <w:docGrid w:type="lines" w:linePitch="435" w:charSpace="0"/>
        </w:sect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8"/>
        <w:gridCol w:w="1903"/>
        <w:gridCol w:w="1632"/>
        <w:gridCol w:w="2102"/>
        <w:gridCol w:w="483"/>
        <w:gridCol w:w="1553"/>
        <w:gridCol w:w="478"/>
        <w:gridCol w:w="1396"/>
        <w:gridCol w:w="532"/>
        <w:gridCol w:w="532"/>
        <w:gridCol w:w="29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39"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有效</w:t>
            </w:r>
            <w:r>
              <w:rPr>
                <w:rFonts w:hint="eastAsia" w:ascii="宋体" w:hAnsi="宋体" w:eastAsia="宋体" w:cs="宋体"/>
                <w:i w:val="0"/>
                <w:iCs w:val="0"/>
                <w:color w:val="000000"/>
                <w:kern w:val="0"/>
                <w:sz w:val="18"/>
                <w:szCs w:val="18"/>
                <w:u w:val="none"/>
                <w:lang w:val="en-US" w:eastAsia="zh-CN" w:bidi="ar"/>
              </w:rPr>
              <w:t>保障</w:t>
            </w:r>
            <w:r>
              <w:rPr>
                <w:rFonts w:hint="eastAsia" w:ascii="宋体" w:hAnsi="宋体" w:cs="宋体"/>
                <w:i w:val="0"/>
                <w:iCs w:val="0"/>
                <w:color w:val="000000"/>
                <w:kern w:val="0"/>
                <w:sz w:val="18"/>
                <w:szCs w:val="18"/>
                <w:u w:val="none"/>
                <w:lang w:val="en-US" w:eastAsia="zh-CN" w:bidi="ar"/>
              </w:rPr>
              <w:t>了</w:t>
            </w:r>
            <w:r>
              <w:rPr>
                <w:rFonts w:hint="eastAsia" w:ascii="宋体" w:hAnsi="宋体" w:eastAsia="宋体" w:cs="宋体"/>
                <w:i w:val="0"/>
                <w:iCs w:val="0"/>
                <w:color w:val="000000"/>
                <w:kern w:val="0"/>
                <w:sz w:val="18"/>
                <w:szCs w:val="18"/>
                <w:u w:val="none"/>
                <w:lang w:val="en-US" w:eastAsia="zh-CN" w:bidi="ar"/>
              </w:rPr>
              <w:t>工资及时、足额发放</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工资性支出主要用于单位职工工资发放和社保缴纳等，该项目由专人负责，严格按照要求和时间进度支付，实现了既定的绩效目标。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2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132.50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143.14</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143.14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both"/>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132.50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143.14</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143.14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51"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8"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2" w:hRule="atLeast"/>
        </w:trPr>
        <w:tc>
          <w:tcPr>
            <w:tcW w:w="35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该项目自评得分100分。严格按照要求和时间进度支付，圆满完成职工工资发放及社保缴纳，实现了既定的绩效目标。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20" w:hRule="atLeast"/>
        </w:trPr>
        <w:tc>
          <w:tcPr>
            <w:tcW w:w="23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576"/>
          <w:tab w:val="left" w:pos="2311"/>
          <w:tab w:val="left" w:pos="3802"/>
          <w:tab w:val="left" w:pos="5719"/>
          <w:tab w:val="left" w:pos="6157"/>
          <w:tab w:val="left" w:pos="7574"/>
          <w:tab w:val="left" w:pos="8010"/>
          <w:tab w:val="left" w:pos="9284"/>
          <w:tab w:val="left" w:pos="9770"/>
          <w:tab w:val="left" w:pos="10256"/>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576"/>
          <w:tab w:val="left" w:pos="2311"/>
          <w:tab w:val="left" w:pos="3802"/>
          <w:tab w:val="left" w:pos="5719"/>
          <w:tab w:val="left" w:pos="6157"/>
          <w:tab w:val="left" w:pos="7574"/>
          <w:tab w:val="left" w:pos="8010"/>
          <w:tab w:val="left" w:pos="9284"/>
          <w:tab w:val="left" w:pos="9770"/>
          <w:tab w:val="left" w:pos="10256"/>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4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4"/>
        <w:gridCol w:w="1919"/>
        <w:gridCol w:w="1646"/>
        <w:gridCol w:w="2116"/>
        <w:gridCol w:w="490"/>
        <w:gridCol w:w="1566"/>
        <w:gridCol w:w="482"/>
        <w:gridCol w:w="1408"/>
        <w:gridCol w:w="533"/>
        <w:gridCol w:w="533"/>
        <w:gridCol w:w="30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严格执行相关政策，保障离退休费足额发放，预算编制科学合理，减少结余资金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离退休费支出主要用于单位退休人员费用支出，该项目由专人负责，严格按照要求和时间进度支付，实现了既定的绩效目标。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17.64</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17.64</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17.64</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17.64</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35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该项目自评得分100分。严格按照要求和时间进度支付，圆满完成离退休费发放，实现了既定的绩效目标。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23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576"/>
          <w:tab w:val="left" w:pos="2311"/>
          <w:tab w:val="left" w:pos="3802"/>
          <w:tab w:val="left" w:pos="5719"/>
          <w:tab w:val="left" w:pos="6157"/>
          <w:tab w:val="left" w:pos="7574"/>
          <w:tab w:val="left" w:pos="8010"/>
          <w:tab w:val="left" w:pos="9284"/>
          <w:tab w:val="left" w:pos="9770"/>
          <w:tab w:val="left" w:pos="10256"/>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576"/>
          <w:tab w:val="left" w:pos="2311"/>
          <w:tab w:val="left" w:pos="3802"/>
          <w:tab w:val="left" w:pos="5719"/>
          <w:tab w:val="left" w:pos="6157"/>
          <w:tab w:val="left" w:pos="7574"/>
          <w:tab w:val="left" w:pos="8010"/>
          <w:tab w:val="left" w:pos="9284"/>
          <w:tab w:val="left" w:pos="9770"/>
          <w:tab w:val="left" w:pos="10256"/>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49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7"/>
        <w:gridCol w:w="1900"/>
        <w:gridCol w:w="1630"/>
        <w:gridCol w:w="2098"/>
        <w:gridCol w:w="483"/>
        <w:gridCol w:w="1547"/>
        <w:gridCol w:w="480"/>
        <w:gridCol w:w="1397"/>
        <w:gridCol w:w="528"/>
        <w:gridCol w:w="528"/>
        <w:gridCol w:w="29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8"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8"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提高预算编制质量，严格执行预算，有效保障</w:t>
            </w:r>
            <w:r>
              <w:rPr>
                <w:rFonts w:hint="eastAsia" w:ascii="宋体" w:hAnsi="宋体" w:cs="宋体"/>
                <w:i w:val="0"/>
                <w:iCs w:val="0"/>
                <w:color w:val="000000"/>
                <w:kern w:val="0"/>
                <w:sz w:val="18"/>
                <w:szCs w:val="18"/>
                <w:u w:val="none"/>
                <w:lang w:val="en-US" w:eastAsia="zh-CN" w:bidi="ar"/>
              </w:rPr>
              <w:t>了</w:t>
            </w:r>
            <w:r>
              <w:rPr>
                <w:rFonts w:hint="eastAsia" w:ascii="宋体" w:hAnsi="宋体" w:eastAsia="宋体" w:cs="宋体"/>
                <w:i w:val="0"/>
                <w:iCs w:val="0"/>
                <w:color w:val="000000"/>
                <w:kern w:val="0"/>
                <w:sz w:val="18"/>
                <w:szCs w:val="18"/>
                <w:u w:val="none"/>
                <w:lang w:val="en-US" w:eastAsia="zh-CN" w:bidi="ar"/>
              </w:rPr>
              <w:t>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6"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日常公用经费主要用于单位日常运转，该项目由专人负责，严格按照要求和时间进度支付，实现了既定的绩效目标。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99.99%</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99.99%</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7"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1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98.78%</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8" w:hRule="atLeast"/>
        </w:trPr>
        <w:tc>
          <w:tcPr>
            <w:tcW w:w="35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该项目自评得分</w:t>
            </w: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1"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7" w:hRule="atLeast"/>
        </w:trPr>
        <w:tc>
          <w:tcPr>
            <w:tcW w:w="23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576"/>
          <w:tab w:val="left" w:pos="2311"/>
          <w:tab w:val="left" w:pos="3802"/>
          <w:tab w:val="left" w:pos="5719"/>
          <w:tab w:val="left" w:pos="6157"/>
          <w:tab w:val="left" w:pos="7574"/>
          <w:tab w:val="left" w:pos="8010"/>
          <w:tab w:val="left" w:pos="9284"/>
          <w:tab w:val="left" w:pos="9770"/>
          <w:tab w:val="left" w:pos="10256"/>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2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2"/>
        <w:gridCol w:w="1910"/>
        <w:gridCol w:w="1634"/>
        <w:gridCol w:w="2108"/>
        <w:gridCol w:w="497"/>
        <w:gridCol w:w="1557"/>
        <w:gridCol w:w="483"/>
        <w:gridCol w:w="1405"/>
        <w:gridCol w:w="531"/>
        <w:gridCol w:w="531"/>
        <w:gridCol w:w="30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6"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8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8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w:t>
            </w:r>
          </w:p>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（盖章）</w:t>
            </w:r>
          </w:p>
        </w:tc>
        <w:tc>
          <w:tcPr>
            <w:tcW w:w="14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0"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91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提高预算编制质量，严格执行预算，有效保障单位日常运转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其他公用经费（福利、工会、公车补贴、党建、退休活动）主要用于单位日常运转，该项目由专人负责，严格按照要求和时间进度支付，实现了既定的绩效目标。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6"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3"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6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57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8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该项目自评得分100分。严格按照要求和时间进度支付，实现了既定的绩效目标。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6"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8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8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23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kinsoku/>
        <w:wordWrap/>
        <w:overflowPunct/>
        <w:topLinePunct w:val="0"/>
        <w:autoSpaceDE/>
        <w:autoSpaceDN/>
        <w:bidi w:val="0"/>
        <w:adjustRightInd/>
        <w:snapToGrid/>
        <w:spacing w:line="260" w:lineRule="exact"/>
      </w:pPr>
      <w:r>
        <w:br w:type="page"/>
      </w:r>
    </w:p>
    <w:p>
      <w:pPr>
        <w:keepNext w:val="0"/>
        <w:keepLines w:val="0"/>
        <w:pageBreakBefore w:val="0"/>
        <w:widowControl w:val="0"/>
        <w:kinsoku/>
        <w:wordWrap/>
        <w:overflowPunct/>
        <w:topLinePunct w:val="0"/>
        <w:autoSpaceDE/>
        <w:autoSpaceDN/>
        <w:bidi w:val="0"/>
        <w:adjustRightInd/>
        <w:snapToGrid/>
        <w:spacing w:line="260" w:lineRule="exact"/>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2"/>
        <w:gridCol w:w="1903"/>
        <w:gridCol w:w="1630"/>
        <w:gridCol w:w="2102"/>
        <w:gridCol w:w="489"/>
        <w:gridCol w:w="1553"/>
        <w:gridCol w:w="478"/>
        <w:gridCol w:w="1396"/>
        <w:gridCol w:w="532"/>
        <w:gridCol w:w="532"/>
        <w:gridCol w:w="29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2"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8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51080022T000004929306-争取项目资金工作经费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8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1.全年到国家发改委2次、省发改委12次、50人次以上开展项目争取工作；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2.2022年储备以工代赈项目35个，资金1.4亿元；</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3.争取国、省以工代赈资金支持8000万元以上，其中：争取8个中省预算内以工代赈项目，争取12个中省财政以工代赈项目；</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4.参加全省4批次以工代赈中省资金项目遴选。</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2023年，先后到国家发展改革委3次、到省以工代赈办14次开展项目争取工作，争取到位以工代赈专项资金1.19亿元，其中：中省预算内项目15个，中省财政项目12个。组织县区参加4批次以工代赈中省资金项目遴选；2023年全市储备以工代赈项目28个11.39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争取项目资金工作经费是用于向上争取项目资金的差旅费、办公费等，项目立项以来，我中心严格按照时间进度支付，支付率100%，实现了既定的绩效目标。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7" w:hRule="atLeast"/>
        </w:trPr>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到国家、省级部门开展项目争取工作次数</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参加全省项目遴选次数</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开展培训</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争取2023年以工代赈项目个数</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27个</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资金到位时间</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8月</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发放务工群众劳务报酬比例</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满意率</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工作经费</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20万元</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35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8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得分100分。2023年，先后到国家发展改革委汇报工作3次、到省以工代赈办争取政策支持、落实项目资金14次，共争取到位以工代赈专项资金1.19亿元，其中：中央财政以工代赈任务投资3475万元、省级财政衔接推进乡村振兴补助资金（以工代赈任务）1150万元、省预算内基本建设投资1600万元、以工代赈示范工程预算内投资5700万元，较去年增长2606万元，增长率27.9%，资金量首次过亿，首次居全省第一。争取中、省财政衔接资金635万元，支持易地搬迁集中安置区后续扶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8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8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3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项目负责人：郭丽</w:t>
            </w:r>
          </w:p>
        </w:tc>
        <w:tc>
          <w:tcPr>
            <w:tcW w:w="26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tabs>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8"/>
        <w:gridCol w:w="1903"/>
        <w:gridCol w:w="1632"/>
        <w:gridCol w:w="2102"/>
        <w:gridCol w:w="483"/>
        <w:gridCol w:w="1553"/>
        <w:gridCol w:w="478"/>
        <w:gridCol w:w="1396"/>
        <w:gridCol w:w="532"/>
        <w:gridCol w:w="532"/>
        <w:gridCol w:w="29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51080022T000004929333-以工代赈项目管理工作经费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认真落实以工代赈政策要求，实施就业优先战略，全力做好以工代赈专项、推广以工代赈方式和重点工程项目实施以工代赈工作。</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全市24个2022年以工代赈专项全部通过验收，吸纳3066名群众参与务工，发放劳务报酬2343.6万元，占财政资金25.15%。全市“农推”“重推”入库项目537个， 组织群众务工16774人，发放劳务报酬16197.17万元。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以工代赈项目管理工作经费是补充的办公经费，主要用于全市以工代赈项目规划、监督管理和推广以工代赈方式项目的督促指导等过程中产生的办公费、差旅费等。项目立项以来，我中心严格按照时间进度支付，支付率100%，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承办以工代赈等工作相关会议次数</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全市以工代赈项目</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27个</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督导调研以工代赈等工作次数</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以工代赈项目验收合格率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以工代赈项目完工时间</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12月</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项目村易地搬迁安置点基层治理水平和产业发展不断提升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项目支出</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30万元</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该项目自评得分100分。全市24个2022年以工代赈专项全部通过验收，吸纳3066名群众参与务工，发放劳务报酬2343.6万元，占财政资金25.15%。2023年，全市“农推”“重推”入库项目537个， 组织群众务工16774人，发放劳务报酬16197.17万元。2023年6月顺利承办全国以工代赈工作现场会，并作经验交流发言；9月，我市被省政府督查激励为“大力实施以工代赈项目、积极推广以工代赈方式、带动当地群众就业增收成效明显的地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项目负责人：张子迁</w:t>
            </w:r>
          </w:p>
        </w:tc>
        <w:tc>
          <w:tcPr>
            <w:tcW w:w="26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kern w:val="0"/>
          <w:sz w:val="30"/>
          <w:szCs w:val="30"/>
          <w:u w:val="none"/>
          <w:lang w:val="en-US" w:eastAsia="zh-CN" w:bidi="ar"/>
        </w:rPr>
      </w:pPr>
      <w:r>
        <w:rPr>
          <w:rFonts w:hint="eastAsia" w:ascii="黑体" w:hAnsi="宋体" w:eastAsia="黑体" w:cs="黑体"/>
          <w:b/>
          <w:bCs/>
          <w:i w:val="0"/>
          <w:iCs w:val="0"/>
          <w:color w:val="000000"/>
          <w:kern w:val="0"/>
          <w:sz w:val="30"/>
          <w:szCs w:val="30"/>
          <w:u w:val="none"/>
          <w:lang w:val="en-US" w:eastAsia="zh-CN" w:bidi="ar"/>
        </w:rPr>
        <w:br w:type="page"/>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8"/>
        <w:gridCol w:w="1903"/>
        <w:gridCol w:w="1632"/>
        <w:gridCol w:w="2102"/>
        <w:gridCol w:w="483"/>
        <w:gridCol w:w="1553"/>
        <w:gridCol w:w="478"/>
        <w:gridCol w:w="1396"/>
        <w:gridCol w:w="532"/>
        <w:gridCol w:w="532"/>
        <w:gridCol w:w="29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51080022T000004929338-乡村振兴工作专项经费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全面完成2023年驻村帮扶工作任务。</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全面完成帮扶任务，2023年集体经济收入2.31万元，增长10%，脱贫人口2023年度人均收入均超8500元，在省定标准之上。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乡村振兴工作经费是用于驻村工作经费和驻村队员生活补贴。项目立项以来，我中心严格按照时间进度支付，支付率100%，实现了既定的绩效目标。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工作队员</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1人</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驻村时间</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天/月</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平均22天/月</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全面完成帮扶任务</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基础设施改善</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工作经费</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1.82万元</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该项目自评得分100分。争取资金40万元，完成村级阵地升级改造；争取以工代赈项目资金500万元，完成村级道路改扩建。2023年集体经济收入2.31万元，增长10%。组织环境卫生整治等活动7次，开展村风文明治理活动4次，脱贫人口2023年度人均收入均超8500元，在省定标准之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p>
      <w:pPr>
        <w:keepNext w:val="0"/>
        <w:keepLines w:val="0"/>
        <w:pageBreakBefore w:val="0"/>
        <w:widowControl w:val="0"/>
        <w:tabs>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5"/>
        <w:gridCol w:w="1903"/>
        <w:gridCol w:w="1630"/>
        <w:gridCol w:w="2102"/>
        <w:gridCol w:w="486"/>
        <w:gridCol w:w="1553"/>
        <w:gridCol w:w="478"/>
        <w:gridCol w:w="1396"/>
        <w:gridCol w:w="532"/>
        <w:gridCol w:w="532"/>
        <w:gridCol w:w="29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规范后市级基础绩效奖及生活补助主要用于单位职工基础绩效奖发放，该项目由专人负责，严格按照要求和时间进度支付，实现了既定的绩效目标。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0.85</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0.85</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0.85</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0.85</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0.85</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0.85</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35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该项目自评得分100分。严格按照要求和时间进度支付，实现了既定的绩效目标。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23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3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6"/>
        <w:gridCol w:w="1916"/>
        <w:gridCol w:w="1638"/>
        <w:gridCol w:w="2114"/>
        <w:gridCol w:w="493"/>
        <w:gridCol w:w="1561"/>
        <w:gridCol w:w="484"/>
        <w:gridCol w:w="1412"/>
        <w:gridCol w:w="533"/>
        <w:gridCol w:w="533"/>
        <w:gridCol w:w="3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trPr>
        <w:tc>
          <w:tcPr>
            <w:tcW w:w="8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51080023R000008569741-应计提养老保险住房公积金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8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1"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trPr>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bookmarkStart w:id="106" w:name="_GoBack"/>
            <w:r>
              <w:rPr>
                <w:rFonts w:hint="eastAsia" w:asciiTheme="minorEastAsia" w:hAnsiTheme="minorEastAsia" w:eastAsiaTheme="minorEastAsia" w:cstheme="minorEastAsia"/>
                <w:i w:val="0"/>
                <w:iCs w:val="0"/>
                <w:color w:val="000000"/>
                <w:kern w:val="0"/>
                <w:sz w:val="18"/>
                <w:szCs w:val="18"/>
                <w:u w:val="none"/>
                <w:lang w:val="en-US" w:eastAsia="zh-CN" w:bidi="ar"/>
              </w:rPr>
              <w:t>严格执行相关政策，保障公积金及时、足额缴纳，预算编制科学合理，减少结余资金</w:t>
            </w:r>
            <w:bookmarkEnd w:id="106"/>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该项目主要用于职工计提养老保险住房公积金，由专人负责，严格按照要求和时间进度支付，实现了既定的绩效目标。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0.68</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0.68</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0.68</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0.68</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0.68</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0.68</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trPr>
        <w:tc>
          <w:tcPr>
            <w:tcW w:w="357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8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该项目自评得分100分。严格按照要求和时间进度支付，实现了既定的绩效目标。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8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trPr>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8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 w:hRule="atLeast"/>
        </w:trPr>
        <w:tc>
          <w:tcPr>
            <w:tcW w:w="23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4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1"/>
        <w:gridCol w:w="1919"/>
        <w:gridCol w:w="1643"/>
        <w:gridCol w:w="2116"/>
        <w:gridCol w:w="493"/>
        <w:gridCol w:w="1566"/>
        <w:gridCol w:w="482"/>
        <w:gridCol w:w="1408"/>
        <w:gridCol w:w="533"/>
        <w:gridCol w:w="533"/>
        <w:gridCol w:w="3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51080023R000009698535-2023考核奖预发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该项目主要用于考核奖预发，由专人负责，严格按照要求和时间进度支付，实现了既定的绩效目标。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 w:hRule="atLeast"/>
        </w:trPr>
        <w:tc>
          <w:tcPr>
            <w:tcW w:w="35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该项目自评得分100分。严格按照要求和时间进度支付，实现了既定的绩效目标。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 w:hRule="atLeast"/>
        </w:trPr>
        <w:tc>
          <w:tcPr>
            <w:tcW w:w="23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tabs>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1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7"/>
        <w:gridCol w:w="1908"/>
        <w:gridCol w:w="1634"/>
        <w:gridCol w:w="2105"/>
        <w:gridCol w:w="491"/>
        <w:gridCol w:w="1554"/>
        <w:gridCol w:w="479"/>
        <w:gridCol w:w="1403"/>
        <w:gridCol w:w="530"/>
        <w:gridCol w:w="531"/>
        <w:gridCol w:w="29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严格执行相关政策，保障考核奖及时、足额发放，预算编制科学合理，减少结余资金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该项目主要用于单位年度考核奖发放，由专人负责，严格按照要求和时间进度支付，实现了既定的绩效目标。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4.23</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4.23</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4.23</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4.23</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35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该项目自评得分100分。严格按照要求和时间进度支付，实现了既定的绩效目标。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3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6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7"/>
        <w:gridCol w:w="1927"/>
        <w:gridCol w:w="1644"/>
        <w:gridCol w:w="2122"/>
        <w:gridCol w:w="501"/>
        <w:gridCol w:w="1564"/>
        <w:gridCol w:w="490"/>
        <w:gridCol w:w="1426"/>
        <w:gridCol w:w="533"/>
        <w:gridCol w:w="533"/>
        <w:gridCol w:w="30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8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51080023T000008423865-易地搬迁后续扶持及消费帮扶工作经费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8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3"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针对全市3.3万户、10.9万人易地搬迁群众开展产业、就业、基础设施提升和社区治理；积极推进消费帮扶工作，促进全市农副产品帮销增收。</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完成搬迁群众就业5.65万人，公岗兜底就业4930人，分别占省下任务的103.86%、107.5% 。易地搬迁对象家庭人均纯收入17149元，增幅22.0%。统筹中省市资金8130万元支持40个易地搬迁安置点产业发展等。2023年实现农副产品销售额17 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易地扶贫搬迁后续帮扶工作经费是补充的办公经费，主要用于全市易地扶贫搬迁后续扶持工作办公费、会议费、项目督导差旅费等。项目立项以来，我中心严格按照时间进度支付，支付率100%，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8"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承办易地搬迁后续扶持和消费帮扶会议次数</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2次</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打造易地搬迁后续扶持示范点</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17个</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督导调研易地搬迁后续扶持和消费帮扶次数</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4次</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易地搬迁后续扶持示范点验收合格率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12个月</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安置点不发生规模性返贫</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安置点基层治理成效明显</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项目支出</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15.65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35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8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该项目自评得分100分。2023年，完成搬迁群众就业5.65万人，公岗兜底就业4930人，分别占省下任务的103.86%、107.5% 。易地搬迁对象家庭人均纯收入17149元，增幅22.0%，高于全市农民的平均增速。统筹中省市资金8130万元支持40个易地搬迁安置点产业发展、基础和服务设施提升。2023年2月，我市在全国易地扶贫搬迁后续扶持工作现场会上作经验交流发言；5月，被国务院督查激励为“2022年易地扶贫搬迁后续扶持工作成效明显的地方”；6月，被国家发展改革委通报表扬为“2022年易地扶贫搬迁后续扶持工作成效明显地方”。大力开展“消费帮扶金秋行动”“消费帮扶新春行动”等活动，持续推进“广供杭州”“广供成都”，2023年实现农副产品销售额17 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8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8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项目负责人：陈思同</w:t>
            </w:r>
          </w:p>
        </w:tc>
        <w:tc>
          <w:tcPr>
            <w:tcW w:w="263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8"/>
        <w:gridCol w:w="1903"/>
        <w:gridCol w:w="1632"/>
        <w:gridCol w:w="2102"/>
        <w:gridCol w:w="483"/>
        <w:gridCol w:w="1553"/>
        <w:gridCol w:w="478"/>
        <w:gridCol w:w="1396"/>
        <w:gridCol w:w="532"/>
        <w:gridCol w:w="532"/>
        <w:gridCol w:w="29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51080023T000008425670-档案室设备采购项目经费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打造标准化机关档案室</w:t>
            </w:r>
          </w:p>
        </w:tc>
        <w:tc>
          <w:tcPr>
            <w:tcW w:w="19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购置档案柜2组、空调1台，档案室达到标准化建设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档案室设备采购项目经费主要用于档案室空调、档案柜采购工作。项目立项以来，我中心严格按照时间进度支付，支付率100%，实现了既定的绩效目标。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档案柜</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2个</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空调</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1个</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设备质量</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工作完成及时率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6月</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档案室标准化</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职工满意率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设备采购</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该项目自评得分100分。通过项目实施，我中心被认定为“档案工作规范化管理省三级单位”。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5"/>
        <w:gridCol w:w="1903"/>
        <w:gridCol w:w="1630"/>
        <w:gridCol w:w="2102"/>
        <w:gridCol w:w="486"/>
        <w:gridCol w:w="1553"/>
        <w:gridCol w:w="478"/>
        <w:gridCol w:w="1396"/>
        <w:gridCol w:w="532"/>
        <w:gridCol w:w="532"/>
        <w:gridCol w:w="29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严格执行相关政策，保障及时、足额发放年度考核奖。</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严格执行相关政策，保障及时、足额发放年度考核奖。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该项目主要用于年度考核奖发放，由专人负责，严格按照要求和时间进度支付，实现了既定的绩效目标。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发放覆盖率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35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该项目自评得分100分。严格按照要求和时间进度支付，实现了既定的绩效目标。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微软雅黑" w:hAnsi="微软雅黑" w:eastAsia="微软雅黑" w:cs="微软雅黑"/>
                <w:i w:val="0"/>
                <w:iCs w:val="0"/>
                <w:color w:val="000000"/>
                <w:sz w:val="18"/>
                <w:szCs w:val="18"/>
                <w:u w:val="none"/>
              </w:rPr>
            </w:pPr>
            <w:r>
              <w:rPr>
                <w:rFonts w:hint="default" w:ascii="微软雅黑" w:hAnsi="微软雅黑" w:eastAsia="微软雅黑" w:cs="微软雅黑"/>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微软雅黑" w:hAnsi="微软雅黑" w:eastAsia="微软雅黑" w:cs="微软雅黑"/>
                <w:i w:val="0"/>
                <w:iCs w:val="0"/>
                <w:color w:val="000000"/>
                <w:sz w:val="18"/>
                <w:szCs w:val="18"/>
                <w:u w:val="none"/>
              </w:rPr>
            </w:pPr>
            <w:r>
              <w:rPr>
                <w:rFonts w:hint="default" w:ascii="微软雅黑" w:hAnsi="微软雅黑" w:eastAsia="微软雅黑" w:cs="微软雅黑"/>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23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r>
        <w:rPr>
          <w:rFonts w:hint="eastAsia" w:ascii="宋体" w:hAnsi="宋体" w:eastAsia="宋体" w:cs="宋体"/>
          <w:i w:val="0"/>
          <w:iCs w:val="0"/>
          <w:color w:val="000000"/>
          <w:sz w:val="18"/>
          <w:szCs w:val="18"/>
          <w:u w:val="none"/>
        </w:rPr>
        <w:tab/>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br w:type="page"/>
      </w:r>
    </w:p>
    <w:p>
      <w:pPr>
        <w:keepNext w:val="0"/>
        <w:keepLines w:val="0"/>
        <w:pageBreakBefore w:val="0"/>
        <w:widowControl w:val="0"/>
        <w:tabs>
          <w:tab w:val="left" w:pos="630"/>
          <w:tab w:val="left" w:pos="2533"/>
          <w:tab w:val="left" w:pos="4168"/>
          <w:tab w:val="left" w:pos="6270"/>
          <w:tab w:val="left" w:pos="6751"/>
          <w:tab w:val="left" w:pos="8304"/>
          <w:tab w:val="left" w:pos="8782"/>
          <w:tab w:val="left" w:pos="10178"/>
          <w:tab w:val="left" w:pos="10710"/>
          <w:tab w:val="left" w:pos="11242"/>
        </w:tabs>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bl>
      <w:tblPr>
        <w:tblStyle w:val="15"/>
        <w:tblW w:w="502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8"/>
        <w:gridCol w:w="1911"/>
        <w:gridCol w:w="1636"/>
        <w:gridCol w:w="2108"/>
        <w:gridCol w:w="488"/>
        <w:gridCol w:w="1557"/>
        <w:gridCol w:w="483"/>
        <w:gridCol w:w="1408"/>
        <w:gridCol w:w="531"/>
        <w:gridCol w:w="531"/>
        <w:gridCol w:w="2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51080023T000009130659-机关事业单位退休人员（中人）一次性待遇资金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广元市以工代赈事务中心部门</w:t>
            </w:r>
          </w:p>
        </w:tc>
        <w:tc>
          <w:tcPr>
            <w:tcW w:w="490" w:type="pct"/>
            <w:tcBorders>
              <w:top w:val="nil"/>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实施单位 （盖章）</w:t>
            </w:r>
          </w:p>
        </w:tc>
        <w:tc>
          <w:tcPr>
            <w:tcW w:w="14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完成退休人员一次性待遇金发放。</w:t>
            </w:r>
          </w:p>
        </w:tc>
        <w:tc>
          <w:tcPr>
            <w:tcW w:w="19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完成退休人员一次性待遇金发放。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该项目主要用于机关事业单位退休人员（中人）一次性待遇资金发放，由专人负责，严格按照要求和时间进度支付，实现了既定的绩效目标。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rPr>
            </w:pPr>
            <w:r>
              <w:rPr>
                <w:rFonts w:hint="default"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default"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3" w:hRule="atLeast"/>
        </w:trPr>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发放人数</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1人</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7月</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保障退休人员一次性待遇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有效保障</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有效保障</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退休干部满意率</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预算资金控制数</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17340</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17340元</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trPr>
        <w:tc>
          <w:tcPr>
            <w:tcW w:w="35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该项目自评得分100分。严格按照要求和时间进度支付，实现了既定的绩效目标。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7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 w:hRule="atLeast"/>
        </w:trPr>
        <w:tc>
          <w:tcPr>
            <w:tcW w:w="23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项目负责人：韩乐</w:t>
            </w:r>
          </w:p>
        </w:tc>
        <w:tc>
          <w:tcPr>
            <w:tcW w:w="262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kern w:val="0"/>
                <w:sz w:val="18"/>
                <w:szCs w:val="18"/>
                <w:u w:val="none"/>
                <w:lang w:val="en-US" w:eastAsia="zh-CN" w:bidi="ar"/>
              </w:rPr>
              <w:t>财务负责人：郭丽</w:t>
            </w:r>
          </w:p>
        </w:tc>
      </w:tr>
    </w:tbl>
    <w:p>
      <w:pPr>
        <w:keepNext w:val="0"/>
        <w:keepLines w:val="0"/>
        <w:pageBreakBefore w:val="0"/>
        <w:widowControl w:val="0"/>
        <w:kinsoku/>
        <w:wordWrap/>
        <w:overflowPunct/>
        <w:topLinePunct w:val="0"/>
        <w:autoSpaceDE/>
        <w:autoSpaceDN/>
        <w:bidi w:val="0"/>
        <w:adjustRightInd/>
        <w:snapToGrid/>
        <w:spacing w:line="576" w:lineRule="exact"/>
        <w:ind w:firstLine="4800" w:firstLineChars="1500"/>
        <w:jc w:val="both"/>
        <w:textAlignment w:val="auto"/>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sectPr>
          <w:pgSz w:w="16838" w:h="11906" w:orient="landscape"/>
          <w:pgMar w:top="1134" w:right="1417" w:bottom="1134" w:left="1417" w:header="851" w:footer="1077" w:gutter="0"/>
          <w:pgNumType w:fmt="decimal"/>
          <w:cols w:space="0" w:num="1"/>
          <w:rtlGutter w:val="0"/>
          <w:docGrid w:type="lines" w:linePitch="435" w:charSpace="0"/>
        </w:sectPr>
      </w:pPr>
    </w:p>
    <w:p>
      <w:pPr>
        <w:pStyle w:val="5"/>
        <w:rPr>
          <w:rFonts w:hint="eastAsia" w:ascii="黑体" w:hAnsi="黑体" w:eastAsia="黑体" w:cs="黑体"/>
          <w:color w:val="000000" w:themeColor="text1"/>
          <w:sz w:val="32"/>
          <w:szCs w:val="32"/>
          <w:highlight w:val="none"/>
          <w:lang w:val="en-US" w:eastAsia="zh-CN"/>
          <w14:textFill>
            <w14:solidFill>
              <w14:schemeClr w14:val="tx1"/>
            </w14:solidFill>
          </w14:textFill>
        </w:rPr>
      </w:pPr>
      <w:r>
        <w:rPr>
          <w:rFonts w:hint="eastAsia" w:ascii="黑体" w:hAnsi="黑体" w:eastAsia="黑体" w:cs="黑体"/>
          <w:color w:val="000000" w:themeColor="text1"/>
          <w:kern w:val="0"/>
          <w:sz w:val="32"/>
          <w:szCs w:val="32"/>
          <w:highlight w:val="none"/>
          <w:shd w:val="clear" w:color="auto" w:fill="FFFFFF"/>
          <w:lang w:val="zh-CN"/>
          <w14:textFill>
            <w14:solidFill>
              <w14:schemeClr w14:val="tx1"/>
            </w14:solidFill>
          </w14:textFill>
        </w:rPr>
        <w:t>附件</w:t>
      </w:r>
      <w:r>
        <w:rPr>
          <w:rFonts w:hint="eastAsia" w:ascii="黑体" w:hAnsi="黑体" w:eastAsia="黑体" w:cs="黑体"/>
          <w:color w:val="000000" w:themeColor="text1"/>
          <w:kern w:val="0"/>
          <w:sz w:val="32"/>
          <w:szCs w:val="32"/>
          <w:highlight w:val="none"/>
          <w:shd w:val="clear" w:color="auto" w:fill="FFFFFF"/>
          <w:lang w:val="en-US" w:eastAsia="zh-CN"/>
          <w14:textFill>
            <w14:solidFill>
              <w14:schemeClr w14:val="tx1"/>
            </w14:solidFill>
          </w14:textFill>
        </w:rPr>
        <w:t>2</w:t>
      </w:r>
    </w:p>
    <w:p>
      <w:pPr>
        <w:pStyle w:val="38"/>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t>广元市以工代赈事务中心</w:t>
      </w:r>
    </w:p>
    <w:p>
      <w:pPr>
        <w:pStyle w:val="38"/>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t>全国以工代赈现场会工作经费项目</w:t>
      </w:r>
    </w:p>
    <w:p>
      <w:pPr>
        <w:pStyle w:val="38"/>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t>支出绩效评价报告</w:t>
      </w:r>
    </w:p>
    <w:p>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b w:val="0"/>
          <w:bCs w:val="0"/>
          <w:color w:val="000000" w:themeColor="text1"/>
          <w:kern w:val="2"/>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val="zh-CN"/>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一、</w:t>
      </w:r>
      <w:r>
        <w:rPr>
          <w:rFonts w:hint="eastAsia" w:ascii="黑体" w:hAnsi="黑体" w:eastAsia="黑体" w:cs="黑体"/>
          <w:b w:val="0"/>
          <w:bCs w:val="0"/>
          <w:color w:val="000000" w:themeColor="text1"/>
          <w:sz w:val="32"/>
          <w:szCs w:val="32"/>
          <w:highlight w:val="none"/>
          <w:lang w:val="zh-CN"/>
          <w14:textFill>
            <w14:solidFill>
              <w14:schemeClr w14:val="tx1"/>
            </w14:solidFill>
          </w14:textFill>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（一）设立背景及基本情况</w:t>
      </w:r>
    </w:p>
    <w:p>
      <w:pPr>
        <w:keepNext w:val="0"/>
        <w:keepLines w:val="0"/>
        <w:pageBreakBefore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14:textFill>
            <w14:solidFill>
              <w14:schemeClr w14:val="tx1"/>
            </w14:solidFill>
          </w14:textFill>
        </w:rPr>
        <w:t>根据国家发展改革委《关于</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召开全国以工代赈工作现场会</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14:textFill>
            <w14:solidFill>
              <w14:schemeClr w14:val="tx1"/>
            </w14:solidFill>
          </w14:textFill>
        </w:rPr>
        <w:t>的通知》《关于请协助做好全国以工代赈现场会筹备工作的函》</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进行立项申报</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市以工代赈事务中心</w:t>
      </w:r>
      <w:r>
        <w:rPr>
          <w:rFonts w:hint="eastAsia" w:ascii="仿宋_GB2312" w:hAnsi="仿宋_GB2312" w:eastAsia="仿宋_GB2312" w:cs="仿宋_GB2312"/>
          <w:b w:val="0"/>
          <w:bCs w:val="0"/>
          <w:color w:val="000000" w:themeColor="text1"/>
          <w:sz w:val="32"/>
          <w:szCs w:val="32"/>
          <w14:textFill>
            <w14:solidFill>
              <w14:schemeClr w14:val="tx1"/>
            </w14:solidFill>
          </w14:textFill>
        </w:rPr>
        <w:t>作为项目主管单位，主要</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负责做好全国以工代赈工作现场会广元参观点位的指导、宣传片制作和会议宣传等工作</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（二）实施目的及支持方向</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全国以工代赈现场会工作经费项目实施单位由市以工代赈事务中心具体负责，主要任务是做好全国现场会的</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宣传片制作、</w:t>
      </w:r>
      <w:r>
        <w:rPr>
          <w:rFonts w:hint="eastAsia" w:ascii="仿宋_GB2312" w:hAnsi="仿宋_GB2312" w:eastAsia="仿宋_GB2312" w:cs="仿宋_GB2312"/>
          <w:b w:val="0"/>
          <w:bCs w:val="0"/>
          <w:color w:val="000000" w:themeColor="text1"/>
          <w:sz w:val="32"/>
          <w:szCs w:val="32"/>
          <w14:textFill>
            <w14:solidFill>
              <w14:schemeClr w14:val="tx1"/>
            </w14:solidFill>
          </w14:textFill>
        </w:rPr>
        <w:t>督导</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苍溪县、剑阁县按时间进度完成全国现场会参观点位的打造和宣传工作等</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。市中心综合科具体负责项目资金管理，主要包括申报和落实项目资金，科学设置绩效指标、开展项目入库、审核资金开支范围、凭证票据，按实施进度支付资金等。</w:t>
      </w:r>
    </w:p>
    <w:p>
      <w:pPr>
        <w:keepNext w:val="0"/>
        <w:keepLines w:val="0"/>
        <w:pageBreakBefore w:val="0"/>
        <w:widowControl/>
        <w:numPr>
          <w:ilvl w:val="0"/>
          <w:numId w:val="4"/>
        </w:numPr>
        <w:kinsoku/>
        <w:wordWrap/>
        <w:overflowPunct/>
        <w:topLinePunct w:val="0"/>
        <w:autoSpaceDE/>
        <w:autoSpaceDN/>
        <w:bidi w:val="0"/>
        <w:adjustRightInd w:val="0"/>
        <w:snapToGrid w:val="0"/>
        <w:spacing w:line="576" w:lineRule="exact"/>
        <w:ind w:left="638" w:leftChars="304" w:firstLine="0" w:firstLineChars="0"/>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预算安排及分配管理</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br w:type="textWrapping"/>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市财政下达我中心全国以工代赈现场会工作经费</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30.47万元，到位率100％，实际支出30.47万元，资金无结余。预算费用主要包括4部宣传片制作、媒体宣传等费用24.56万元，印刷费、会务费等2.81万元，车辆租赁费等3.1万元。</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t>（四）项目绩效目标设置</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u w:val="none"/>
          <w:lang w:val="zh-CN" w:eastAsia="zh-CN"/>
          <w14:textFill>
            <w14:solidFill>
              <w14:schemeClr w14:val="tx1"/>
            </w14:solidFill>
          </w14:textFill>
        </w:rPr>
        <w:t>为圆满完成全国以工代赈工作现场会筹办的各项任务，经研判，该项目共设置</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一级指标4个，二级指标6个，三级指标8个，主要任务是：完成4部宣传片制作、指导做好苍溪县和剑阁县的4个现场参观点位、开展媒体宣传等工作</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，确保与会代表满意度达90%以上。通过项目实施，将进一步扩大广元以工代赈工作影响力。</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二、</w:t>
      </w: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评价实施</w:t>
      </w:r>
    </w:p>
    <w:p>
      <w:pPr>
        <w:keepNext w:val="0"/>
        <w:keepLines w:val="0"/>
        <w:pageBreakBefore w:val="0"/>
        <w:widowControl w:val="0"/>
        <w:kinsoku/>
        <w:wordWrap/>
        <w:overflowPunct/>
        <w:topLinePunct w:val="0"/>
        <w:autoSpaceDE/>
        <w:autoSpaceDN/>
        <w:bidi w:val="0"/>
        <w:spacing w:line="576" w:lineRule="exact"/>
        <w:ind w:firstLine="64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（一）评价目的。</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通过项目实施，充分展示我市以工代赈工作成效，进一步提升我市以工代赈工作在全国、全省的影响力，促进广元以工代赈工作再上新台阶。</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（二）预设问题及评价重点。</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全国以工代赈现场会工作经费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30.47万元，实际到位资金30.47万元，该资金由财政直接下达我中心，到位率100%，到位及时性100%，到位情况与资金计划一致</w:t>
      </w:r>
      <w:r>
        <w:rPr>
          <w:rFonts w:hint="eastAsia" w:ascii="仿宋_GB2312" w:hAnsi="仿宋_GB2312" w:eastAsia="仿宋_GB2312" w:cs="仿宋_GB2312"/>
          <w:b w:val="0"/>
          <w:bCs w:val="0"/>
          <w:color w:val="000000" w:themeColor="text1"/>
          <w:sz w:val="32"/>
          <w:szCs w:val="32"/>
          <w14:textFill>
            <w14:solidFill>
              <w14:schemeClr w14:val="tx1"/>
            </w14:solidFill>
          </w14:textFill>
        </w:rPr>
        <w:t>，保证了项目顺利开展。项目资金支出</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30.47万元</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，主要用于制作《赈济为民》《以工代赈人》《“赈”兴乡村 使命必达》《坚守“赈”的初心》</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4部宣传片，在《中国改革报》</w:t>
      </w:r>
      <w:r>
        <w:rPr>
          <w:rFonts w:hint="eastAsia" w:ascii="仿宋_GB2312" w:hAnsi="仿宋_GB2312" w:eastAsia="仿宋_GB2312" w:cs="仿宋_GB2312"/>
          <w:b w:val="0"/>
          <w:bCs w:val="0"/>
          <w:color w:val="000000" w:themeColor="text1"/>
          <w:sz w:val="32"/>
          <w:szCs w:val="32"/>
          <w14:textFill>
            <w14:solidFill>
              <w14:schemeClr w14:val="tx1"/>
            </w14:solidFill>
          </w14:textFill>
        </w:rPr>
        <w:t>《四川日报》《广元日报》</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等媒体宣传广元以工代赈工作成效和到</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4个</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现场参观点位督导等，</w:t>
      </w:r>
      <w:r>
        <w:rPr>
          <w:rFonts w:hint="eastAsia" w:ascii="仿宋_GB2312" w:hAnsi="仿宋_GB2312" w:eastAsia="仿宋_GB2312" w:cs="仿宋_GB2312"/>
          <w:b w:val="0"/>
          <w:bCs w:val="0"/>
          <w:color w:val="000000" w:themeColor="text1"/>
          <w:sz w:val="32"/>
          <w:szCs w:val="32"/>
          <w14:textFill>
            <w14:solidFill>
              <w14:schemeClr w14:val="tx1"/>
            </w14:solidFill>
          </w14:textFill>
        </w:rPr>
        <w:t>支出符合项目开支范围，支出程序规范。</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项目实施后，安徽、甘肃、湖北十堰、湖南怀化、河南三门峡等省市相继到我市考察学习以工代赈工作经验，甘肃省以工代赈工作培训班在我市举办，广元以工代赈工作模式在全省、全国推广。</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（三）项目评价方法及组织。</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本项目采取</w:t>
      </w:r>
      <w:r>
        <w:rPr>
          <w:rFonts w:hint="eastAsia" w:ascii="仿宋_GB2312" w:hAnsi="仿宋_GB2312" w:eastAsia="仿宋_GB2312" w:cs="仿宋_GB2312"/>
          <w:b w:val="0"/>
          <w:bCs w:val="0"/>
          <w:color w:val="000000" w:themeColor="text1"/>
          <w:sz w:val="32"/>
          <w:szCs w:val="32"/>
          <w14:textFill>
            <w14:solidFill>
              <w14:schemeClr w14:val="tx1"/>
            </w14:solidFill>
          </w14:textFill>
        </w:rPr>
        <w:t>单位自评法</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成立了由党组书记、主任任组长，</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2名副主任任副组长，各科室负责人为成员的</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项目自评工作领导小组，负责全面组织实施项目自评并全过程监督。工作组从项目申报、实施、使用情况开展自评，重点对项目经费申报是否合理、使用是否合规、程序是</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否</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规范，制度是否健全等方面开展评价，并形成自评报告。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三、</w:t>
      </w: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绩效分析</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通用指标</w:t>
      </w: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绩效分析（自评得分54分）</w:t>
      </w:r>
    </w:p>
    <w:p>
      <w:pPr>
        <w:keepNext w:val="0"/>
        <w:keepLines w:val="0"/>
        <w:pageBreakBefore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项目决策。</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18分，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自评得分18分）</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b w:val="0"/>
          <w:bCs w:val="0"/>
          <w:color w:val="000000" w:themeColor="text1"/>
          <w:sz w:val="32"/>
          <w:szCs w:val="32"/>
          <w:highlight w:val="none"/>
          <w:u w:val="none"/>
          <w:lang w:val="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我中心成立了项目管理工作领导小组，负责对项目工作经费预算编制和使用全过程监督，领导小组下设办公室，由综合科科长任办公室主任，负责项目预算申报和具体实施。该项目由综合科会同相关科室提出项目内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通过中心</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党组会研究确定，确保经费使用效率。项目符合中省市要求，项目绩效设置科学合理，规范完整，没有与单位内部相关项目交叉重复。</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项目管理。</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18分，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自评得分18分）</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市以工代赈事务中心严格按照项目管理有关规定对专项经费进行管理，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2023年，修订完善了《机关财务管理办法》，管理制度体系健全。明确由</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综合科具体负责项目管理工作，按要求开展了项目事前评估、项目入库、绩效评价，并做好</w:t>
      </w:r>
      <w:r>
        <w:rPr>
          <w:rFonts w:hint="eastAsia" w:ascii="仿宋_GB2312" w:hAnsi="仿宋_GB2312" w:eastAsia="仿宋_GB2312" w:cs="仿宋_GB2312"/>
          <w:bCs/>
          <w:color w:val="000000" w:themeColor="text1"/>
          <w:sz w:val="32"/>
          <w:szCs w:val="32"/>
          <w:lang w:val="zh-CN"/>
          <w14:textFill>
            <w14:solidFill>
              <w14:schemeClr w14:val="tx1"/>
            </w14:solidFill>
          </w14:textFill>
        </w:rPr>
        <w:t>审核资金开支范围、凭证票据，按实施进度支付资金。</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3.项目实施。</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z w:val="32"/>
          <w:szCs w:val="32"/>
          <w14:textFill>
            <w14:solidFill>
              <w14:schemeClr w14:val="tx1"/>
            </w14:solidFill>
          </w14:textFill>
        </w:rPr>
        <w:t>分）</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市财政下达我中心全国以工代赈现场会工作经费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30.47万元，截至2023年12月底，已全面完成支付进度，支付率100%，不存在超范围、超标准、超进度使用专项资金和资金损失浪费、长期沉淀、截留、挤占、挪用、虚列支出等情况。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4.项目结果。</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z w:val="32"/>
          <w:szCs w:val="32"/>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该项目在规定的时间内完成预期目标，实施结果与绩效目标相匹配。高质量完成了《赈济为民》《以工代赈人》《“赈”兴乡村 使命必达》《坚守“赈”的初心》4部宣传片制作，其中，《赈济为民——以工代赈40年》被评为2023年全国乡村振兴优秀案例。会议当天，在《中国改革报》《四川日报》《广元日报》宣传广元以工代赈工作成效，与会人员实地调研观摩了我市苍溪县、剑阁县的4个现场点位，对我市以工代赈工作给予了高度评价，满意度为90%以上。现场会后，</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安徽、甘肃、湖北十堰、湖南怀化、河南三门峡等省市相继到我市考察学习以工代赈工作经验，甘肃省以工代赈工作培训班在我市举办，省发展改革委奖励我市中央预算内以工代赈项目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2个，资金1000万元</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（二）专用指标</w:t>
      </w: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绩效分析（自评得分30分）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全国以工代赈现场会工作经费属于行政运转类，经费严格按照规定用途使用，资金管理程序、分配标准符合专项资金管理要求，无违规使用资金情况。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t>（三）</w:t>
      </w: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个性指标绩效分析。（自评得分16分）</w:t>
      </w:r>
    </w:p>
    <w:p>
      <w:pPr>
        <w:keepNext w:val="0"/>
        <w:keepLines w:val="0"/>
        <w:pageBreakBefore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带来得</w:t>
      </w:r>
      <w:r>
        <w:rPr>
          <w:rFonts w:hint="eastAsia" w:ascii="仿宋_GB2312" w:hAnsi="仿宋_GB2312" w:eastAsia="仿宋_GB2312" w:cs="仿宋_GB2312"/>
          <w:b w:val="0"/>
          <w:bCs w:val="0"/>
          <w:color w:val="000000" w:themeColor="text1"/>
          <w:sz w:val="32"/>
          <w:szCs w:val="32"/>
          <w14:textFill>
            <w14:solidFill>
              <w14:schemeClr w14:val="tx1"/>
            </w14:solidFill>
          </w14:textFill>
        </w:rPr>
        <w:t>的</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经济效益。</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b w:val="0"/>
          <w:bCs w:val="0"/>
          <w:color w:val="000000" w:themeColor="text1"/>
          <w:sz w:val="32"/>
          <w:szCs w:val="32"/>
          <w14:textFill>
            <w14:solidFill>
              <w14:schemeClr w14:val="tx1"/>
            </w14:solidFill>
          </w14:textFill>
        </w:rPr>
        <w:t>分）</w:t>
      </w:r>
    </w:p>
    <w:p>
      <w:pPr>
        <w:keepNext w:val="0"/>
        <w:keepLines w:val="0"/>
        <w:pageBreakBefore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全国以工代赈工作现场会后，省发展改革委奖励我市</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2个</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中央预算内以工代赈项目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、资金1000万元。通过以工代赈项目实施，吸纳410名群众参与务工，发放劳务报酬344.3万元，占财政资金34.43%，人均增收8397.56元。</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2.项目带来的社会效益。</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（自评得分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分）</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全国以工代赈工作现场会后，进一步扩大了广元以工代赈工作在全国、全省的影响力，先后6个省市到我市调研学习以工代赈工作经验，我市连续2年被省政府督查激励为“大力实施以工代赈项目、积极推广以工代赈方式、带动当地群众就业增收成效明显的地方”。</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四</w:t>
      </w:r>
      <w:r>
        <w:rPr>
          <w:rFonts w:hint="eastAsia" w:ascii="黑体" w:hAnsi="黑体" w:eastAsia="黑体" w:cs="黑体"/>
          <w:b w:val="0"/>
          <w:bCs w:val="0"/>
          <w:color w:val="000000" w:themeColor="text1"/>
          <w:sz w:val="32"/>
          <w:szCs w:val="32"/>
          <w:highlight w:val="none"/>
          <w14:textFill>
            <w14:solidFill>
              <w14:schemeClr w14:val="tx1"/>
            </w14:solidFill>
          </w14:textFill>
        </w:rPr>
        <w:t>、评价结论</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通过项目的实施，进一步扩大了广元以工代赈工作的影响力，有效促进广元经济社会发展，为持续巩固拓展脱贫攻坚成果，有效衔接乡村振兴提供了坚强的保障。自评得分为100分</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五、存在主要问题</w:t>
      </w:r>
    </w:p>
    <w:p>
      <w:pPr>
        <w:pStyle w:val="5"/>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jc w:val="both"/>
        <w:textAlignment w:val="auto"/>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val="zh-CN"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val="zh-CN" w:eastAsia="zh-CN"/>
          <w14:textFill>
            <w14:solidFill>
              <w14:schemeClr w14:val="tx1"/>
            </w14:solidFill>
          </w14:textFill>
        </w:rPr>
        <w:t>六、改进建议</w:t>
      </w:r>
    </w:p>
    <w:p>
      <w:pPr>
        <w:keepNext w:val="0"/>
        <w:keepLines w:val="0"/>
        <w:pageBreakBefore w:val="0"/>
        <w:tabs>
          <w:tab w:val="left" w:pos="1911"/>
        </w:tabs>
        <w:kinsoku/>
        <w:wordWrap/>
        <w:overflowPunct/>
        <w:topLinePunct w:val="0"/>
        <w:autoSpaceDE/>
        <w:autoSpaceDN/>
        <w:bidi w:val="0"/>
        <w:spacing w:line="576" w:lineRule="exact"/>
        <w:jc w:val="both"/>
        <w:textAlignment w:val="auto"/>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sectPr>
          <w:headerReference r:id="rId8" w:type="default"/>
          <w:footerReference r:id="rId9" w:type="default"/>
          <w:pgSz w:w="11906" w:h="16838"/>
          <w:pgMar w:top="2098" w:right="1474" w:bottom="1984" w:left="1587" w:header="851" w:footer="1531" w:gutter="0"/>
          <w:pgNumType w:fmt="decimal"/>
          <w:cols w:space="0" w:num="1"/>
          <w:rtlGutter w:val="0"/>
          <w:docGrid w:type="lines" w:linePitch="312" w:charSpace="0"/>
        </w:sect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 xml:space="preserve">   </w:t>
      </w:r>
      <w:bookmarkStart w:id="78" w:name="_Hlk110546638"/>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p>
    <w:p>
      <w:pPr>
        <w:keepNext w:val="0"/>
        <w:keepLines w:val="0"/>
        <w:widowControl/>
        <w:suppressLineNumbers w:val="0"/>
        <w:jc w:val="center"/>
        <w:textAlignment w:val="center"/>
        <w:rPr>
          <w:rFonts w:hint="eastAsia" w:ascii="方正小标宋简体" w:hAnsi="方正小标宋简体" w:eastAsia="方正小标宋简体" w:cs="方正小标宋简体"/>
          <w:b w:val="0"/>
          <w:bCs w:val="0"/>
          <w:i w:val="0"/>
          <w:iCs w:val="0"/>
          <w:color w:val="000000" w:themeColor="text1"/>
          <w:sz w:val="36"/>
          <w:szCs w:val="36"/>
          <w:u w:val="none"/>
          <w14:textFill>
            <w14:solidFill>
              <w14:schemeClr w14:val="tx1"/>
            </w14:solidFill>
          </w14:textFill>
        </w:rPr>
      </w:pPr>
      <w:r>
        <w:rPr>
          <w:rFonts w:hint="eastAsia" w:ascii="方正小标宋简体" w:hAnsi="方正小标宋简体" w:eastAsia="方正小标宋简体" w:cs="方正小标宋简体"/>
          <w:b w:val="0"/>
          <w:bCs w:val="0"/>
          <w:i w:val="0"/>
          <w:iCs w:val="0"/>
          <w:color w:val="000000" w:themeColor="text1"/>
          <w:kern w:val="0"/>
          <w:sz w:val="36"/>
          <w:szCs w:val="36"/>
          <w:u w:val="none"/>
          <w:lang w:val="en-US" w:eastAsia="zh-CN" w:bidi="ar"/>
          <w14:textFill>
            <w14:solidFill>
              <w14:schemeClr w14:val="tx1"/>
            </w14:solidFill>
          </w14:textFill>
        </w:rPr>
        <w:t>部门预算项目支出绩效自评表（2023年度）</w:t>
      </w:r>
    </w:p>
    <w:tbl>
      <w:tblPr>
        <w:tblStyle w:val="1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8"/>
        <w:gridCol w:w="1689"/>
        <w:gridCol w:w="1453"/>
        <w:gridCol w:w="1863"/>
        <w:gridCol w:w="423"/>
        <w:gridCol w:w="1588"/>
        <w:gridCol w:w="514"/>
        <w:gridCol w:w="1788"/>
        <w:gridCol w:w="812"/>
        <w:gridCol w:w="734"/>
        <w:gridCol w:w="1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项目名称</w:t>
            </w:r>
          </w:p>
        </w:tc>
        <w:tc>
          <w:tcPr>
            <w:tcW w:w="40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51080023T000009873390-全国以工代赈现场会工作经费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0" w:hRule="atLeast"/>
          <w:jc w:val="center"/>
        </w:trPr>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主管部门</w:t>
            </w:r>
          </w:p>
        </w:tc>
        <w:tc>
          <w:tcPr>
            <w:tcW w:w="22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广元市以工代赈事务中心部门</w:t>
            </w:r>
          </w:p>
        </w:tc>
        <w:tc>
          <w:tcPr>
            <w:tcW w:w="689"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实施单位 （盖章）</w:t>
            </w:r>
          </w:p>
        </w:tc>
        <w:tc>
          <w:tcPr>
            <w:tcW w:w="11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项目基本情况</w:t>
            </w:r>
          </w:p>
        </w:tc>
        <w:tc>
          <w:tcPr>
            <w:tcW w:w="6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1.项目年度目标完成情况</w:t>
            </w:r>
          </w:p>
        </w:tc>
        <w:tc>
          <w:tcPr>
            <w:tcW w:w="22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项目年度目标</w:t>
            </w:r>
          </w:p>
        </w:tc>
        <w:tc>
          <w:tcPr>
            <w:tcW w:w="18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60"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2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圆满完成全国以工代赈现场会各项工作任务。</w:t>
            </w:r>
          </w:p>
        </w:tc>
        <w:tc>
          <w:tcPr>
            <w:tcW w:w="18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全面完成各项工作任务，与会人员满意度达95%以上。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2.项目实施内容及过程概述</w:t>
            </w:r>
          </w:p>
        </w:tc>
        <w:tc>
          <w:tcPr>
            <w:tcW w:w="40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  该项目主要用于制作《赈济为民》《以工代赈人》《“赈”兴乡村 使命必达》《坚守“赈”的初心》4部宣传片，在《中国改革报》《四川日报》《广元日报》等媒体宣传广元以工代赈工作成效和到4个会议现场参观点位开展督导等。项目立项以来，我中心严格按照时间进度支付，支付率100%，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1" w:hRule="atLeast"/>
          <w:jc w:val="center"/>
        </w:trPr>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预算执行情况（10分）</w:t>
            </w: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年度预算数（万元）</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年初预算</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调整后预算数</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预算执行数</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总额</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30.47</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30.47</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91"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其中：财政资金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30.47</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30.47</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财政专户管理资金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1"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单位资金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其他资金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2" w:hRule="atLeast"/>
          <w:jc w:val="center"/>
        </w:trPr>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绩效指标（90分）</w:t>
            </w: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一级指标</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二级指标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三级指标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指标性质</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指标值</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度量单位</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完成值</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产出指标</w:t>
            </w:r>
          </w:p>
        </w:tc>
        <w:tc>
          <w:tcPr>
            <w:tcW w:w="5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数量指标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打造现场参观点</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个</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4个</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5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宣传媒体数</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个</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3个</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5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制作宣传片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部</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4部</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质量指标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成效明显</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定性</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圆满完成全国以工代赈现场会各项工作任务</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圆满完成</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9"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时效指标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经费支出</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月</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10月</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效益指标</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社会效益指标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广元以工代赈工作影响力</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定性</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在全国全省影响力持续增强</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甘肃省以工代赈工作培训班在我市举办；安徽、甘肃、湖北十堰、湖南怀化、河南三门峡等省市相继到我市考察学习以工代赈工作经验。</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60"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成本指标</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经济成本指标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项目支出</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30.47</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万元</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30.47万元</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满意度指标</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满意度指标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与会代表满意度</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95%</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386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合计</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jc w:val="center"/>
        </w:trPr>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评价结论</w:t>
            </w:r>
          </w:p>
        </w:tc>
        <w:tc>
          <w:tcPr>
            <w:tcW w:w="47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该项目自评得分100分。高质量完成了4部宣传片制作，其中，《赈济为民——以工代赈40年》被评为2023年全国乡村振兴优秀案例。在《中国改革报》《四川日报》《广元日报》宣传广元以工代赈工作成效，与会人员实地调研观摩了我市苍溪县、剑阁县的4个现场点位，对我市以工代赈工作给予了高度评价，满意度为95%以上。现场会后，安徽、甘肃、湖北十堰、湖南怀化、河南三门峡等省市相继到我市考察学习以工代赈工作经验，甘肃省以工代赈工作培训班在我市举办；会后，省发展改革委奖励我市中央预算内以工代赈项目2个，资金1000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jc w:val="center"/>
        </w:trPr>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存在问题</w:t>
            </w:r>
          </w:p>
        </w:tc>
        <w:tc>
          <w:tcPr>
            <w:tcW w:w="47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iCs w:val="0"/>
                <w:color w:val="000000" w:themeColor="text1"/>
                <w:sz w:val="16"/>
                <w:szCs w:val="16"/>
                <w:u w:val="none"/>
                <w14:textFill>
                  <w14:solidFill>
                    <w14:schemeClr w14:val="tx1"/>
                  </w14:solidFill>
                </w14:textFill>
              </w:rPr>
            </w:pPr>
            <w:r>
              <w:rPr>
                <w:rFonts w:hint="default" w:ascii="微软雅黑" w:hAnsi="微软雅黑" w:eastAsia="微软雅黑" w:cs="微软雅黑"/>
                <w:i w:val="0"/>
                <w:iCs w:val="0"/>
                <w:color w:val="000000" w:themeColor="text1"/>
                <w:kern w:val="0"/>
                <w:sz w:val="16"/>
                <w:szCs w:val="16"/>
                <w:u w:val="none"/>
                <w:lang w:val="en-US" w:eastAsia="zh-CN" w:bidi="ar"/>
                <w14:textFill>
                  <w14:solidFill>
                    <w14:schemeClr w14:val="tx1"/>
                  </w14:solidFill>
                </w14:textFill>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改进措施</w:t>
            </w:r>
          </w:p>
        </w:tc>
        <w:tc>
          <w:tcPr>
            <w:tcW w:w="47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iCs w:val="0"/>
                <w:color w:val="000000" w:themeColor="text1"/>
                <w:sz w:val="16"/>
                <w:szCs w:val="16"/>
                <w:u w:val="none"/>
                <w14:textFill>
                  <w14:solidFill>
                    <w14:schemeClr w14:val="tx1"/>
                  </w14:solidFill>
                </w14:textFill>
              </w:rPr>
            </w:pPr>
            <w:r>
              <w:rPr>
                <w:rFonts w:hint="default" w:ascii="微软雅黑" w:hAnsi="微软雅黑" w:eastAsia="微软雅黑" w:cs="微软雅黑"/>
                <w:i w:val="0"/>
                <w:iCs w:val="0"/>
                <w:color w:val="000000" w:themeColor="text1"/>
                <w:kern w:val="0"/>
                <w:sz w:val="16"/>
                <w:szCs w:val="16"/>
                <w:u w:val="none"/>
                <w:lang w:val="en-US" w:eastAsia="zh-CN" w:bidi="ar"/>
                <w14:textFill>
                  <w14:solidFill>
                    <w14:schemeClr w14:val="tx1"/>
                  </w14:solidFill>
                </w14:textFill>
              </w:rPr>
              <w:t>无</w:t>
            </w:r>
          </w:p>
        </w:tc>
      </w:tr>
    </w:tbl>
    <w:p>
      <w:pPr>
        <w:keepNext w:val="0"/>
        <w:keepLines w:val="0"/>
        <w:pageBreakBefore w:val="0"/>
        <w:tabs>
          <w:tab w:val="left" w:pos="1911"/>
        </w:tabs>
        <w:kinsoku/>
        <w:wordWrap/>
        <w:overflowPunct/>
        <w:topLinePunct w:val="0"/>
        <w:autoSpaceDE/>
        <w:autoSpaceDN/>
        <w:bidi w:val="0"/>
        <w:spacing w:line="576" w:lineRule="exact"/>
        <w:jc w:val="both"/>
        <w:textAlignment w:val="auto"/>
        <w:rPr>
          <w:rFonts w:hint="eastAsia" w:ascii="仿宋_GB2312" w:hAnsi="仿宋_GB2312" w:eastAsia="仿宋_GB2312" w:cs="仿宋_GB2312"/>
          <w:b w:val="0"/>
          <w:bCs w:val="0"/>
          <w:color w:val="000000" w:themeColor="text1"/>
          <w:kern w:val="0"/>
          <w:position w:val="0"/>
          <w:sz w:val="32"/>
          <w:szCs w:val="32"/>
          <w:highlight w:val="none"/>
          <w:lang w:val="en" w:eastAsia="zh-CN" w:bidi="ar-SA"/>
          <w14:textFill>
            <w14:solidFill>
              <w14:schemeClr w14:val="tx1"/>
            </w14:solidFill>
          </w14:textFill>
        </w:rPr>
        <w:sectPr>
          <w:pgSz w:w="16838" w:h="11906" w:orient="landscape"/>
          <w:pgMar w:top="1587" w:right="2098" w:bottom="1474" w:left="1984" w:header="851" w:footer="1531" w:gutter="0"/>
          <w:pgNumType w:fmt="decimal"/>
          <w:cols w:space="0" w:num="1"/>
          <w:rtlGutter w:val="0"/>
          <w:docGrid w:type="lines" w:linePitch="312" w:charSpace="0"/>
        </w:sectPr>
      </w:pPr>
    </w:p>
    <w:p>
      <w:pPr>
        <w:keepNext w:val="0"/>
        <w:keepLines w:val="0"/>
        <w:pageBreakBefore w:val="0"/>
        <w:tabs>
          <w:tab w:val="left" w:pos="1911"/>
        </w:tabs>
        <w:kinsoku/>
        <w:wordWrap/>
        <w:overflowPunct/>
        <w:topLinePunct w:val="0"/>
        <w:autoSpaceDE/>
        <w:autoSpaceDN/>
        <w:bidi w:val="0"/>
        <w:spacing w:line="576" w:lineRule="exact"/>
        <w:jc w:val="both"/>
        <w:textAlignment w:val="auto"/>
        <w:rPr>
          <w:rFonts w:hint="eastAsia" w:ascii="仿宋_GB2312" w:hAnsi="仿宋_GB2312" w:eastAsia="仿宋_GB2312" w:cs="仿宋_GB2312"/>
          <w:b w:val="0"/>
          <w:bCs w:val="0"/>
          <w:color w:val="000000" w:themeColor="text1"/>
          <w:kern w:val="0"/>
          <w:position w:val="0"/>
          <w:sz w:val="32"/>
          <w:szCs w:val="32"/>
          <w:highlight w:val="none"/>
          <w:lang w:val="en" w:eastAsia="zh-CN" w:bidi="ar-SA"/>
          <w14:textFill>
            <w14:solidFill>
              <w14:schemeClr w14:val="tx1"/>
            </w14:solidFill>
          </w14:textFill>
        </w:rPr>
      </w:pPr>
    </w:p>
    <w:bookmarkEnd w:id="78"/>
    <w:p>
      <w:pPr>
        <w:pStyle w:val="38"/>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t>广元市以工代赈事务中心</w:t>
      </w:r>
    </w:p>
    <w:p>
      <w:pPr>
        <w:pStyle w:val="38"/>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t>易地扶贫搬迁后续扶持工作及时奖励资金项目支出绩效评价</w:t>
      </w:r>
    </w:p>
    <w:p>
      <w:pPr>
        <w:pStyle w:val="38"/>
        <w:keepNext w:val="0"/>
        <w:keepLines w:val="0"/>
        <w:pageBreakBefore w:val="0"/>
        <w:widowControl w:val="0"/>
        <w:kinsoku/>
        <w:wordWrap/>
        <w:overflowPunct/>
        <w:topLinePunct w:val="0"/>
        <w:autoSpaceDE/>
        <w:autoSpaceDN/>
        <w:bidi w:val="0"/>
        <w:adjustRightInd/>
        <w:snapToGrid/>
        <w:spacing w:line="640" w:lineRule="exact"/>
        <w:ind w:left="0" w:leftChars="0" w:firstLine="640"/>
        <w:jc w:val="left"/>
        <w:textAlignment w:val="auto"/>
        <w:rPr>
          <w:rFonts w:ascii="宋体" w:hAnsi="宋体"/>
          <w:b w:val="0"/>
          <w:bCs w:val="0"/>
          <w:color w:val="000000" w:themeColor="text1"/>
          <w:kern w:val="2"/>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val="zh-CN"/>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一、</w:t>
      </w:r>
      <w:r>
        <w:rPr>
          <w:rFonts w:hint="eastAsia" w:ascii="黑体" w:hAnsi="黑体" w:eastAsia="黑体" w:cs="黑体"/>
          <w:b w:val="0"/>
          <w:bCs w:val="0"/>
          <w:color w:val="000000" w:themeColor="text1"/>
          <w:sz w:val="32"/>
          <w:szCs w:val="32"/>
          <w:highlight w:val="none"/>
          <w:lang w:val="zh-CN"/>
          <w14:textFill>
            <w14:solidFill>
              <w14:schemeClr w14:val="tx1"/>
            </w14:solidFill>
          </w14:textFill>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14:textFill>
            <w14:solidFill>
              <w14:schemeClr w14:val="tx1"/>
            </w14:solidFill>
          </w14:textFill>
        </w:rPr>
        <w:t>根据《中华人民共和国公务员法》《公务员奖励规定》《四川省公务员及时奖励办法（试行）》《广元市公务员及时奖励实施细则（试行）》</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进行立项申报</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市以工代赈事务中心</w:t>
      </w:r>
      <w:r>
        <w:rPr>
          <w:rFonts w:hint="eastAsia" w:ascii="仿宋_GB2312" w:hAnsi="仿宋_GB2312" w:eastAsia="仿宋_GB2312" w:cs="仿宋_GB2312"/>
          <w:b w:val="0"/>
          <w:bCs w:val="0"/>
          <w:color w:val="000000" w:themeColor="text1"/>
          <w:sz w:val="32"/>
          <w:szCs w:val="32"/>
          <w14:textFill>
            <w14:solidFill>
              <w14:schemeClr w14:val="tx1"/>
            </w14:solidFill>
          </w14:textFill>
        </w:rPr>
        <w:t>作为项目主管单位，主要</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负责做好易地扶贫搬迁后续扶持工作及时奖励人员资金发放工作</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（二）实施目的及支持方向</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易地扶贫搬迁后续扶持工作及时奖励资金项目实施单位由市以工代赈事务中心具体负责，主要任务是做好</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易地扶贫搬迁后续扶持工作及时奖励人员资金发放工作</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市中心综合科具体负责项目资金管理，主要包括申报和落实项目资金，设置绩效指标、开展项目入库、审核资金开支范围、凭证票据，按实施进度支付资金等。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（三）预算安排及分配管理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市财政下达我中心易地扶贫搬迁后续扶持工作及时奖励资金</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3.15万元，到位率100％，实际支出3.15万元，资金无结余。</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t>（四）项目绩效目标设置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auto"/>
          <w:lang w:val="zh-CN"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u w:val="none"/>
          <w:shd w:val="clear" w:color="auto" w:fill="auto"/>
          <w:lang w:val="zh-CN" w:eastAsia="zh-CN"/>
          <w14:textFill>
            <w14:solidFill>
              <w14:schemeClr w14:val="tx1"/>
            </w14:solidFill>
          </w14:textFill>
        </w:rPr>
        <w:t>该项目共设置</w:t>
      </w:r>
      <w:r>
        <w:rPr>
          <w:rFonts w:hint="eastAsia" w:ascii="仿宋_GB2312" w:hAnsi="仿宋_GB2312" w:eastAsia="仿宋_GB2312" w:cs="仿宋_GB2312"/>
          <w:b w:val="0"/>
          <w:bCs w:val="0"/>
          <w:color w:val="000000" w:themeColor="text1"/>
          <w:sz w:val="32"/>
          <w:szCs w:val="32"/>
          <w:highlight w:val="none"/>
          <w:u w:val="none"/>
          <w:shd w:val="clear" w:color="auto" w:fill="auto"/>
          <w:lang w:val="en-US" w:eastAsia="zh-CN"/>
          <w14:textFill>
            <w14:solidFill>
              <w14:schemeClr w14:val="tx1"/>
            </w14:solidFill>
          </w14:textFill>
        </w:rPr>
        <w:t>一级指标4个，二级指标6个，三级指标6个，主要在12月底前完成16人的及时奖励金发放工作</w:t>
      </w:r>
      <w:r>
        <w:rPr>
          <w:rFonts w:hint="eastAsia" w:ascii="仿宋_GB2312" w:hAnsi="仿宋_GB2312" w:eastAsia="仿宋_GB2312" w:cs="仿宋_GB2312"/>
          <w:b w:val="0"/>
          <w:bCs w:val="0"/>
          <w:color w:val="000000" w:themeColor="text1"/>
          <w:kern w:val="0"/>
          <w:sz w:val="32"/>
          <w:szCs w:val="32"/>
          <w:highlight w:val="none"/>
          <w:u w:val="none"/>
          <w:shd w:val="clear" w:color="auto" w:fill="auto"/>
          <w:lang w:val="zh-CN" w:eastAsia="zh-CN"/>
          <w14:textFill>
            <w14:solidFill>
              <w14:schemeClr w14:val="tx1"/>
            </w14:solidFill>
          </w14:textFill>
        </w:rPr>
        <w:t>，满意度达90%以上。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二、</w:t>
      </w: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评价实施</w:t>
      </w:r>
    </w:p>
    <w:p>
      <w:pPr>
        <w:keepNext w:val="0"/>
        <w:keepLines w:val="0"/>
        <w:pageBreakBefore w:val="0"/>
        <w:widowControl w:val="0"/>
        <w:kinsoku/>
        <w:wordWrap/>
        <w:overflowPunct/>
        <w:topLinePunct w:val="0"/>
        <w:autoSpaceDE/>
        <w:autoSpaceDN/>
        <w:bidi w:val="0"/>
        <w:spacing w:line="576" w:lineRule="exact"/>
        <w:ind w:firstLine="64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（一）评价目的。</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通过项目实施，对在易地扶贫搬迁后续扶持工作中成绩突出的干部进行奖励，进一步激发干部干事激情，促进全市易地扶贫搬迁后续扶持工作更好地开展。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（二）预设问题及评价重点。</w:t>
      </w:r>
      <w:r>
        <w:rPr>
          <w:rFonts w:hint="eastAsia" w:ascii="仿宋_GB2312" w:hAnsi="仿宋_GB2312" w:eastAsia="仿宋_GB2312" w:cs="仿宋_GB2312"/>
          <w:b w:val="0"/>
          <w:bCs w:val="0"/>
          <w:color w:val="000000" w:themeColor="text1"/>
          <w:sz w:val="32"/>
          <w:szCs w:val="32"/>
          <w:highlight w:val="none"/>
          <w:u w:val="none"/>
          <w:lang w:val="zh-CN"/>
          <w14:textFill>
            <w14:solidFill>
              <w14:schemeClr w14:val="tx1"/>
            </w14:solidFill>
          </w14:textFill>
        </w:rPr>
        <w:t>易地扶贫搬迁后续扶持工作及时奖励资金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3.15万元，实际到位资金3.15万元，该资金</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由市财</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政直接下达我中心，到位率100%，到位及时性100%，到位情况与资金计划一致</w:t>
      </w:r>
      <w:r>
        <w:rPr>
          <w:rFonts w:hint="eastAsia" w:ascii="仿宋_GB2312" w:hAnsi="仿宋_GB2312" w:eastAsia="仿宋_GB2312" w:cs="仿宋_GB2312"/>
          <w:b w:val="0"/>
          <w:bCs w:val="0"/>
          <w:color w:val="000000" w:themeColor="text1"/>
          <w:sz w:val="32"/>
          <w:szCs w:val="32"/>
          <w14:textFill>
            <w14:solidFill>
              <w14:schemeClr w14:val="tx1"/>
            </w14:solidFill>
          </w14:textFill>
        </w:rPr>
        <w:t>，保证了项目顺利开展。项目资金支出</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3.15万元</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，主要用于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在易地扶贫搬迁后续扶持工作中成效突出，被记二等功、三等功和嘉奖的16名干部的奖励金</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支出符合项目开支范围，支出程序规范。</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（三）项目评价方法及组织。</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本项目采取</w:t>
      </w:r>
      <w:r>
        <w:rPr>
          <w:rFonts w:hint="eastAsia" w:ascii="仿宋_GB2312" w:hAnsi="仿宋_GB2312" w:eastAsia="仿宋_GB2312" w:cs="仿宋_GB2312"/>
          <w:b w:val="0"/>
          <w:bCs w:val="0"/>
          <w:color w:val="000000" w:themeColor="text1"/>
          <w:sz w:val="32"/>
          <w:szCs w:val="32"/>
          <w14:textFill>
            <w14:solidFill>
              <w14:schemeClr w14:val="tx1"/>
            </w14:solidFill>
          </w14:textFill>
        </w:rPr>
        <w:t>单位自评法</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成立了由党组书记、主任任组长，</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2名副主任任副组长，各科室负责人为成员的</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项目自评工作领导小组，负责全面组织实施项目自评并全过程监督。工作组从项目申报、实施、使用情况开展自评，重点对项目经费申报是否合理、使用是否合规、程序是否规范，制度是否健全等方面开展评价，并形成自评报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三、</w:t>
      </w: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通用指标</w:t>
      </w: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绩效分析（自评得分54分）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项目决策。</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18分，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自评得分18分）</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b w:val="0"/>
          <w:bCs w:val="0"/>
          <w:color w:val="000000" w:themeColor="text1"/>
          <w:sz w:val="32"/>
          <w:szCs w:val="32"/>
          <w:highlight w:val="none"/>
          <w:u w:val="none"/>
          <w:lang w:val="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我中心成立了项目管理工作领导小组，负责对项目工作经费预算编制和使用全过程监督，领导小组下设办公室，由综合科科长任办公室主任，负责项目预算申报和具体实施。该项目由综合科提出项目内容，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通过中心</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党组会研究确定，确保经费使用效率。项目符合中省市要求，项目绩效设置科学合理，规范完整，没有与单位内部相关项目交叉重复。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项目管理。</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18分，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市以工代赈事务中心严格按照项目管理有关规定对专项经费进行管理，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2023年，修订完善了《机关财务管理办法》，管理制度体系健全。明确由</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综合科具体负责项目管理工作，按要求开展了项目事前评估、绩效评价，并做好</w:t>
      </w:r>
      <w:r>
        <w:rPr>
          <w:rFonts w:hint="eastAsia" w:ascii="仿宋_GB2312" w:hAnsi="仿宋_GB2312" w:eastAsia="仿宋_GB2312" w:cs="仿宋_GB2312"/>
          <w:bCs/>
          <w:color w:val="000000" w:themeColor="text1"/>
          <w:sz w:val="32"/>
          <w:szCs w:val="32"/>
          <w:lang w:val="zh-CN"/>
          <w14:textFill>
            <w14:solidFill>
              <w14:schemeClr w14:val="tx1"/>
            </w14:solidFill>
          </w14:textFill>
        </w:rPr>
        <w:t>审核资金开支范围、凭证票据，按实施进度支付资金。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3.项目实施。</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z w:val="32"/>
          <w:szCs w:val="32"/>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市财政下达我中心易地扶贫搬迁后续扶持工作及时奖励资金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3.15万元，截至2023年12月底，已全面完成支付进度，支付率100%，不存在超范围、超标准、超进度使用专项资金和资金损失浪费、长期沉淀、截留、挤占、挪用、虚列支出等情况。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4.项目结果。</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总分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9分，</w:t>
      </w:r>
      <w:r>
        <w:rPr>
          <w:rFonts w:hint="eastAsia" w:ascii="仿宋_GB2312" w:hAnsi="仿宋_GB2312" w:eastAsia="仿宋_GB2312" w:cs="仿宋_GB2312"/>
          <w:b w:val="0"/>
          <w:bCs w:val="0"/>
          <w:color w:val="000000" w:themeColor="text1"/>
          <w:sz w:val="32"/>
          <w:szCs w:val="32"/>
          <w14:textFill>
            <w14:solidFill>
              <w14:schemeClr w14:val="tx1"/>
            </w14:solidFill>
          </w14:textFill>
        </w:rPr>
        <w:t>自评得分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z w:val="32"/>
          <w:szCs w:val="32"/>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该项目在规定的时间内完成预期目标，实施结果与绩效目标相匹配。在规定的时间内全面完成16人及时奖励金的发放工作，满意率达95%以上，设置的绩效目标全面完成。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（二）专用指标</w:t>
      </w: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绩效分析（自评得分30分）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易地扶贫搬迁后续扶持工作及时奖励资金属于行政运转类，经费严格按照规定用途使用，资金管理程序、分配标准符合专项资金管理要求，无违规使用资金情况。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（三）个性指标绩效分析。（自评得分16分）</w:t>
      </w:r>
    </w:p>
    <w:p>
      <w:pPr>
        <w:pStyle w:val="14"/>
        <w:keepNext w:val="0"/>
        <w:keepLines w:val="0"/>
        <w:pageBreakBefore w:val="0"/>
        <w:widowControl w:val="0"/>
        <w:numPr>
          <w:ilvl w:val="0"/>
          <w:numId w:val="0"/>
        </w:numPr>
        <w:kinsoku/>
        <w:wordWrap/>
        <w:overflowPunct/>
        <w:topLinePunct w:val="0"/>
        <w:autoSpaceDE/>
        <w:autoSpaceDN/>
        <w:bidi w:val="0"/>
        <w:spacing w:after="0" w:line="576" w:lineRule="exact"/>
        <w:ind w:firstLine="640" w:firstLineChars="200"/>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bidi="ar-SA"/>
          <w14:textFill>
            <w14:solidFill>
              <w14:schemeClr w14:val="tx1"/>
            </w14:solidFill>
          </w14:textFill>
        </w:rPr>
        <w:t>宣传推广成效突出。通过项目实施，进一步激发了干部干事激情，易地扶贫搬迁后续扶持宣传工作取得了较好的成效。2023年《广元市朝天区持续巩固易地搬迁脱贫成效，开启群众幸福生活》被国家发展改革委《“十四五”时期易地扶贫搬迁后续扶持工作指引》（第61期）刊发；《多措并举促就业 搬迁群众稳增收》被人民网刊载；《剑阁县走出“后搬迁时代”就业帮扶新路径》《广元市坚持党建引领基层治理破解易地扶贫搬迁后续扶持“三难”问题》分别被《四川省新时期易地扶贫搬迁后续扶持工作典型案例》（第14、15期）刊发；易地扶贫搬迁后续扶持工作干得怎么样？“广元做法”在全国易地扶贫搬迁后续扶持工作现场会上作经验交流被《四川新闻网》报道。</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四</w:t>
      </w:r>
      <w:r>
        <w:rPr>
          <w:rFonts w:hint="eastAsia" w:ascii="黑体" w:hAnsi="黑体" w:eastAsia="黑体" w:cs="黑体"/>
          <w:b w:val="0"/>
          <w:bCs w:val="0"/>
          <w:color w:val="000000" w:themeColor="text1"/>
          <w:sz w:val="32"/>
          <w:szCs w:val="32"/>
          <w:highlight w:val="none"/>
          <w14:textFill>
            <w14:solidFill>
              <w14:schemeClr w14:val="tx1"/>
            </w14:solidFill>
          </w14:textFill>
        </w:rPr>
        <w:t>、评价结论</w:t>
      </w:r>
    </w:p>
    <w:p>
      <w:pPr>
        <w:keepNext w:val="0"/>
        <w:keepLines w:val="0"/>
        <w:pageBreakBefore w:val="0"/>
        <w:widowControl w:val="0"/>
        <w:kinsoku/>
        <w:wordWrap/>
        <w:overflowPunct/>
        <w:topLinePunct w:val="0"/>
        <w:autoSpaceDE/>
        <w:autoSpaceDN/>
        <w:bidi w:val="0"/>
        <w:adjustRightInd w:val="0"/>
        <w:snapToGrid w:val="0"/>
        <w:spacing w:line="576" w:lineRule="exact"/>
        <w:ind w:firstLine="720"/>
        <w:jc w:val="both"/>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通过项目的实施，进一步激发了干部职工的工作热情，促进工作更好地开展，该</w:t>
      </w:r>
      <w:r>
        <w:rPr>
          <w:rFonts w:hint="eastAsia" w:ascii="仿宋_GB2312" w:hAnsi="仿宋_GB2312" w:eastAsia="仿宋_GB2312" w:cs="仿宋_GB2312"/>
          <w:color w:val="000000" w:themeColor="text1"/>
          <w:sz w:val="32"/>
          <w:szCs w:val="32"/>
          <w:lang w:val="zh-CN"/>
          <w14:textFill>
            <w14:solidFill>
              <w14:schemeClr w14:val="tx1"/>
            </w14:solidFill>
          </w14:textFill>
        </w:rPr>
        <w:t>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自评得分为100分</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五、存在主要问题</w:t>
      </w:r>
    </w:p>
    <w:p>
      <w:pPr>
        <w:pStyle w:val="5"/>
        <w:keepNext w:val="0"/>
        <w:keepLines w:val="0"/>
        <w:pageBreakBefore w:val="0"/>
        <w:widowControl w:val="0"/>
        <w:numPr>
          <w:ilvl w:val="0"/>
          <w:numId w:val="0"/>
        </w:numPr>
        <w:tabs>
          <w:tab w:val="left" w:pos="2160"/>
        </w:tabs>
        <w:kinsoku/>
        <w:wordWrap/>
        <w:overflowPunct/>
        <w:topLinePunct w:val="0"/>
        <w:autoSpaceDE/>
        <w:autoSpaceDN/>
        <w:bidi w:val="0"/>
        <w:adjustRightInd/>
        <w:spacing w:beforeLines="0" w:line="576" w:lineRule="exact"/>
        <w:ind w:firstLine="640" w:firstLineChars="200"/>
        <w:jc w:val="both"/>
        <w:textAlignment w:val="auto"/>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z w:val="32"/>
          <w:szCs w:val="32"/>
          <w:highlight w:val="none"/>
          <w:lang w:val="zh-CN"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val="zh-CN" w:eastAsia="zh-CN"/>
          <w14:textFill>
            <w14:solidFill>
              <w14:schemeClr w14:val="tx1"/>
            </w14:solidFill>
          </w14:textFill>
        </w:rPr>
        <w:t>六、改进建议</w:t>
      </w:r>
    </w:p>
    <w:p>
      <w:pPr>
        <w:keepNext w:val="0"/>
        <w:keepLines w:val="0"/>
        <w:pageBreakBefore w:val="0"/>
        <w:widowControl w:val="0"/>
        <w:tabs>
          <w:tab w:val="left" w:pos="1911"/>
        </w:tabs>
        <w:kinsoku/>
        <w:wordWrap/>
        <w:overflowPunct/>
        <w:topLinePunct w:val="0"/>
        <w:autoSpaceDE/>
        <w:autoSpaceDN/>
        <w:bidi w:val="0"/>
        <w:spacing w:line="576" w:lineRule="exact"/>
        <w:jc w:val="both"/>
        <w:textAlignment w:val="auto"/>
        <w:rPr>
          <w:rFonts w:hint="eastAsia" w:ascii="仿宋_GB2312" w:hAnsi="仿宋_GB2312" w:eastAsia="仿宋_GB2312" w:cs="仿宋_GB2312"/>
          <w:b w:val="0"/>
          <w:bCs w:val="0"/>
          <w:color w:val="000000" w:themeColor="text1"/>
          <w:kern w:val="0"/>
          <w:position w:val="0"/>
          <w:sz w:val="32"/>
          <w:szCs w:val="32"/>
          <w:highlight w:val="none"/>
          <w:lang w:val="en"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 xml:space="preserve">   无</w:t>
      </w:r>
    </w:p>
    <w:p>
      <w:pPr>
        <w:keepNext w:val="0"/>
        <w:keepLines w:val="0"/>
        <w:pageBreakBefore w:val="0"/>
        <w:kinsoku/>
        <w:wordWrap/>
        <w:overflowPunct/>
        <w:topLinePunct w:val="0"/>
        <w:autoSpaceDE/>
        <w:autoSpaceDN/>
        <w:bidi w:val="0"/>
        <w:adjustRightInd/>
        <w:snapToGrid w:val="0"/>
        <w:spacing w:line="550"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kern w:val="0"/>
          <w:sz w:val="32"/>
          <w:szCs w:val="32"/>
          <w:highlight w:val="none"/>
          <w:shd w:val="clear" w:color="auto" w:fill="FFFFFF"/>
          <w:lang w:val="zh-CN"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val="0"/>
        <w:spacing w:line="550" w:lineRule="exact"/>
        <w:jc w:val="both"/>
        <w:textAlignment w:val="auto"/>
        <w:outlineLvl w:val="9"/>
        <w:rPr>
          <w:rFonts w:hint="eastAsia" w:ascii="仿宋_GB2312" w:hAnsi="仿宋_GB2312" w:eastAsia="仿宋_GB2312" w:cs="仿宋_GB2312"/>
          <w:b w:val="0"/>
          <w:bCs w:val="0"/>
          <w:color w:val="000000" w:themeColor="text1"/>
          <w:kern w:val="0"/>
          <w:sz w:val="32"/>
          <w:szCs w:val="32"/>
          <w:highlight w:val="none"/>
          <w:shd w:val="clear" w:color="auto" w:fill="FFFFFF"/>
          <w:lang w:val="zh-CN"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sectPr>
          <w:pgSz w:w="11906" w:h="16838"/>
          <w:pgMar w:top="2098" w:right="1474" w:bottom="1984" w:left="1587" w:header="851" w:footer="1531" w:gutter="0"/>
          <w:pgNumType w:fmt="decimal"/>
          <w:cols w:space="0" w:num="1"/>
          <w:rtlGutter w:val="0"/>
          <w:docGrid w:type="lines" w:linePitch="312" w:charSpace="0"/>
        </w:sect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b w:val="0"/>
          <w:bCs w:val="0"/>
          <w:i w:val="0"/>
          <w:iCs w:val="0"/>
          <w:color w:val="000000" w:themeColor="text1"/>
          <w:sz w:val="36"/>
          <w:szCs w:val="36"/>
          <w:u w:val="none"/>
          <w14:textFill>
            <w14:solidFill>
              <w14:schemeClr w14:val="tx1"/>
            </w14:solidFill>
          </w14:textFill>
        </w:rPr>
      </w:pPr>
      <w:r>
        <w:rPr>
          <w:rFonts w:hint="eastAsia" w:ascii="方正小标宋简体" w:hAnsi="方正小标宋简体" w:eastAsia="方正小标宋简体" w:cs="方正小标宋简体"/>
          <w:b w:val="0"/>
          <w:bCs w:val="0"/>
          <w:i w:val="0"/>
          <w:iCs w:val="0"/>
          <w:color w:val="000000" w:themeColor="text1"/>
          <w:kern w:val="0"/>
          <w:sz w:val="36"/>
          <w:szCs w:val="36"/>
          <w:u w:val="none"/>
          <w:lang w:val="en-US" w:eastAsia="zh-CN" w:bidi="ar"/>
          <w14:textFill>
            <w14:solidFill>
              <w14:schemeClr w14:val="tx1"/>
            </w14:solidFill>
          </w14:textFill>
        </w:rPr>
        <w:t>部门预算项目支出绩效自评表（2023年度）</w:t>
      </w:r>
    </w:p>
    <w:tbl>
      <w:tblPr>
        <w:tblStyle w:val="15"/>
        <w:tblW w:w="500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9"/>
        <w:gridCol w:w="1687"/>
        <w:gridCol w:w="1705"/>
        <w:gridCol w:w="2325"/>
        <w:gridCol w:w="418"/>
        <w:gridCol w:w="1368"/>
        <w:gridCol w:w="444"/>
        <w:gridCol w:w="1230"/>
        <w:gridCol w:w="779"/>
        <w:gridCol w:w="600"/>
        <w:gridCol w:w="16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项目名称</w:t>
            </w:r>
          </w:p>
        </w:tc>
        <w:tc>
          <w:tcPr>
            <w:tcW w:w="404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51080024T000010509300-易地扶贫搬迁后续扶持工作及时奖励资金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主管部门</w:t>
            </w:r>
          </w:p>
        </w:tc>
        <w:tc>
          <w:tcPr>
            <w:tcW w:w="24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广元市以工代赈事务中心部门</w:t>
            </w:r>
          </w:p>
        </w:tc>
        <w:tc>
          <w:tcPr>
            <w:tcW w:w="47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themeColor="text1"/>
                <w:sz w:val="18"/>
                <w:szCs w:val="18"/>
                <w:u w:val="none"/>
                <w14:textFill>
                  <w14:solidFill>
                    <w14:schemeClr w14:val="tx1"/>
                  </w14:solidFill>
                </w14:textFill>
              </w:rPr>
            </w:pPr>
            <w:r>
              <w:rPr>
                <w:rFonts w:hint="default" w:ascii="黑体" w:hAnsi="黑体" w:eastAsia="黑体" w:cs="黑体"/>
                <w:i w:val="0"/>
                <w:iCs w:val="0"/>
                <w:color w:val="000000" w:themeColor="text1"/>
                <w:kern w:val="0"/>
                <w:sz w:val="18"/>
                <w:szCs w:val="18"/>
                <w:u w:val="none"/>
                <w:lang w:val="en-US" w:eastAsia="zh-CN" w:bidi="ar"/>
                <w14:textFill>
                  <w14:solidFill>
                    <w14:schemeClr w14:val="tx1"/>
                  </w14:solidFill>
                </w14:textFill>
              </w:rPr>
              <w:t>实施单位 （盖章）</w:t>
            </w:r>
          </w:p>
        </w:tc>
        <w:tc>
          <w:tcPr>
            <w:tcW w:w="11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广元市以工代赈事务中心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3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项目基本情况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1.项目年度目标完成情况</w:t>
            </w:r>
          </w:p>
        </w:tc>
        <w:tc>
          <w:tcPr>
            <w:tcW w:w="24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项目年度目标</w:t>
            </w:r>
          </w:p>
        </w:tc>
        <w:tc>
          <w:tcPr>
            <w:tcW w:w="162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9"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4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严格按照政策要求，全面完成及时奖励金发放工作。</w:t>
            </w:r>
          </w:p>
        </w:tc>
        <w:tc>
          <w:tcPr>
            <w:tcW w:w="162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全面完成16名易地扶贫搬迁后续扶持及时奖励人员的奖励金发放工作，共计3.15万元。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2.项目实施内容及过程概述</w:t>
            </w:r>
          </w:p>
        </w:tc>
        <w:tc>
          <w:tcPr>
            <w:tcW w:w="4041" w:type="pct"/>
            <w:gridSpan w:val="9"/>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该项目主要用于在易地扶贫搬迁后续扶持工作中成效突出，被记二等功、三等功和嘉奖的16名干部的奖励金，支出符合项目开支范围，支出程序规范，支付率100%，实现了既定的绩效目标。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3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预算执行情况（10分）</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年度预算数（万元）</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年初预算</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调整后预算数</w:t>
            </w:r>
          </w:p>
        </w:tc>
        <w:tc>
          <w:tcPr>
            <w:tcW w:w="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预算执行数</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总额</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3.15</w:t>
            </w:r>
          </w:p>
        </w:tc>
        <w:tc>
          <w:tcPr>
            <w:tcW w:w="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3.15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其中：财政资金</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3.15</w:t>
            </w:r>
          </w:p>
        </w:tc>
        <w:tc>
          <w:tcPr>
            <w:tcW w:w="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3.15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财政专户管理资金</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单位资金</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其他资金</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c>
          <w:tcPr>
            <w:tcW w:w="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6"/>
                <w:szCs w:val="16"/>
                <w:u w:val="none"/>
                <w14:textFill>
                  <w14:solidFill>
                    <w14:schemeClr w14:val="tx1"/>
                  </w14:solidFill>
                </w14:textFill>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7" w:hRule="atLeast"/>
        </w:trPr>
        <w:tc>
          <w:tcPr>
            <w:tcW w:w="3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绩效指标（90分）</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一级指标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二级指标</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三级指标</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指标性质</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指标值</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度量单位</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完成值</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产出指标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数量指标</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发放人数</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人</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16人</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质量指标</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发放率</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时效指标</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发放时间</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月</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11月</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效益指标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社会效益指标</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足额保障率</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成本指标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经济成本指标</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预算资金控制数</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万元</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3.15万元</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满意度指标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满意度指标</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发放对象满意率</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90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95%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38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合计</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30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评价</w:t>
            </w:r>
          </w:p>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结论</w:t>
            </w:r>
          </w:p>
        </w:tc>
        <w:tc>
          <w:tcPr>
            <w:tcW w:w="4691" w:type="pct"/>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该项目自评得分100分。通过项目实施，进一步激发了干部职工的工作激情，促进工作更好</w:t>
            </w: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地</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存在</w:t>
            </w:r>
          </w:p>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问题</w:t>
            </w:r>
          </w:p>
        </w:tc>
        <w:tc>
          <w:tcPr>
            <w:tcW w:w="4691" w:type="pct"/>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5" w:hRule="atLeast"/>
        </w:trPr>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改进</w:t>
            </w:r>
          </w:p>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措施</w:t>
            </w:r>
          </w:p>
        </w:tc>
        <w:tc>
          <w:tcPr>
            <w:tcW w:w="4691" w:type="pct"/>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无</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sectPr>
          <w:pgSz w:w="16838" w:h="11906" w:orient="landscape"/>
          <w:pgMar w:top="1587" w:right="2098" w:bottom="1474" w:left="1984" w:header="851" w:footer="1531" w:gutter="0"/>
          <w:pgNumType w:fmt="decimal"/>
          <w:cols w:space="0" w:num="1"/>
          <w:rtlGutter w:val="0"/>
          <w:docGrid w:type="lines" w:linePitch="312" w:charSpace="0"/>
        </w:sect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both"/>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p>
    <w:p>
      <w:pPr>
        <w:spacing w:line="600" w:lineRule="exact"/>
        <w:jc w:val="center"/>
        <w:outlineLvl w:val="0"/>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bookmarkStart w:id="79" w:name="_Toc26722"/>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第</w:t>
      </w:r>
      <w:r>
        <w:rPr>
          <w:rStyle w:val="30"/>
          <w:rFonts w:hint="eastAsia" w:ascii="方正小标宋简体" w:hAnsi="方正小标宋简体" w:eastAsia="方正小标宋简体" w:cs="方正小标宋简体"/>
          <w:b w:val="0"/>
          <w:color w:val="000000" w:themeColor="text1"/>
          <w:sz w:val="44"/>
          <w:szCs w:val="44"/>
          <w14:textFill>
            <w14:solidFill>
              <w14:schemeClr w14:val="tx1"/>
            </w14:solidFill>
          </w14:textFill>
        </w:rPr>
        <w:t>五部分 附表</w:t>
      </w:r>
      <w:bookmarkEnd w:id="73"/>
      <w:bookmarkEnd w:id="77"/>
      <w:bookmarkEnd w:id="79"/>
      <w:bookmarkStart w:id="80" w:name="_Toc15396619"/>
    </w:p>
    <w:p>
      <w:pPr>
        <w:pStyle w:val="3"/>
        <w:keepNext w:val="0"/>
        <w:keepLines w:val="0"/>
        <w:pageBreakBefore w:val="0"/>
        <w:widowControl w:val="0"/>
        <w:kinsoku/>
        <w:wordWrap/>
        <w:overflowPunct/>
        <w:topLinePunct w:val="0"/>
        <w:autoSpaceDE/>
        <w:autoSpaceDN/>
        <w:bidi w:val="0"/>
        <w:adjustRightInd/>
        <w:snapToGrid/>
        <w:spacing w:before="0" w:after="0" w:line="576" w:lineRule="exact"/>
        <w:textAlignment w:val="auto"/>
        <w:rPr>
          <w:rFonts w:hint="eastAsia" w:ascii="仿宋_GB2312" w:hAnsi="仿宋_GB2312" w:eastAsia="仿宋_GB2312" w:cs="仿宋_GB2312"/>
          <w:b w:val="0"/>
          <w:color w:val="000000" w:themeColor="text1"/>
          <w14:textFill>
            <w14:solidFill>
              <w14:schemeClr w14:val="tx1"/>
            </w14:solidFill>
          </w14:textFill>
        </w:rPr>
      </w:pPr>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81" w:name="_Toc27455"/>
      <w:r>
        <w:rPr>
          <w:rFonts w:hint="eastAsia" w:ascii="仿宋_GB2312" w:hAnsi="仿宋_GB2312" w:eastAsia="仿宋_GB2312" w:cs="仿宋_GB2312"/>
          <w:b w:val="0"/>
          <w:color w:val="000000" w:themeColor="text1"/>
          <w14:textFill>
            <w14:solidFill>
              <w14:schemeClr w14:val="tx1"/>
            </w14:solidFill>
          </w14:textFill>
        </w:rPr>
        <w:t>一、收</w:t>
      </w:r>
      <w:r>
        <w:rPr>
          <w:rStyle w:val="31"/>
          <w:rFonts w:hint="eastAsia" w:ascii="仿宋_GB2312" w:hAnsi="仿宋_GB2312" w:eastAsia="仿宋_GB2312" w:cs="仿宋_GB2312"/>
          <w:b w:val="0"/>
          <w:bCs w:val="0"/>
          <w:color w:val="000000" w:themeColor="text1"/>
          <w14:textFill>
            <w14:solidFill>
              <w14:schemeClr w14:val="tx1"/>
            </w14:solidFill>
          </w14:textFill>
        </w:rPr>
        <w:t>入支出决算总表</w:t>
      </w:r>
      <w:bookmarkEnd w:id="80"/>
      <w:bookmarkEnd w:id="81"/>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82" w:name="_Toc20026"/>
      <w:bookmarkStart w:id="83" w:name="_Toc15396620"/>
      <w:r>
        <w:rPr>
          <w:rFonts w:hint="eastAsia" w:ascii="仿宋_GB2312" w:hAnsi="仿宋_GB2312" w:eastAsia="仿宋_GB2312" w:cs="仿宋_GB2312"/>
          <w:b w:val="0"/>
          <w:color w:val="000000" w:themeColor="text1"/>
          <w14:textFill>
            <w14:solidFill>
              <w14:schemeClr w14:val="tx1"/>
            </w14:solidFill>
          </w14:textFill>
        </w:rPr>
        <w:t>二、收</w:t>
      </w:r>
      <w:r>
        <w:rPr>
          <w:rStyle w:val="31"/>
          <w:rFonts w:hint="eastAsia" w:ascii="仿宋_GB2312" w:hAnsi="仿宋_GB2312" w:eastAsia="仿宋_GB2312" w:cs="仿宋_GB2312"/>
          <w:b w:val="0"/>
          <w:bCs w:val="0"/>
          <w:color w:val="000000" w:themeColor="text1"/>
          <w14:textFill>
            <w14:solidFill>
              <w14:schemeClr w14:val="tx1"/>
            </w14:solidFill>
          </w14:textFill>
        </w:rPr>
        <w:t>入决算表</w:t>
      </w:r>
      <w:bookmarkEnd w:id="82"/>
      <w:bookmarkEnd w:id="83"/>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84" w:name="_Toc15396621"/>
      <w:bookmarkStart w:id="85" w:name="_Toc21574"/>
      <w:r>
        <w:rPr>
          <w:rStyle w:val="31"/>
          <w:rFonts w:hint="eastAsia" w:ascii="仿宋_GB2312" w:hAnsi="仿宋_GB2312" w:eastAsia="仿宋_GB2312" w:cs="仿宋_GB2312"/>
          <w:b w:val="0"/>
          <w:bCs w:val="0"/>
          <w:color w:val="000000" w:themeColor="text1"/>
          <w14:textFill>
            <w14:solidFill>
              <w14:schemeClr w14:val="tx1"/>
            </w14:solidFill>
          </w14:textFill>
        </w:rPr>
        <w:t>三、</w:t>
      </w:r>
      <w:r>
        <w:rPr>
          <w:rFonts w:hint="eastAsia" w:ascii="仿宋_GB2312" w:hAnsi="仿宋_GB2312" w:eastAsia="仿宋_GB2312" w:cs="仿宋_GB2312"/>
          <w:b w:val="0"/>
          <w:color w:val="000000" w:themeColor="text1"/>
          <w14:textFill>
            <w14:solidFill>
              <w14:schemeClr w14:val="tx1"/>
            </w14:solidFill>
          </w14:textFill>
        </w:rPr>
        <w:t>支</w:t>
      </w:r>
      <w:r>
        <w:rPr>
          <w:rStyle w:val="31"/>
          <w:rFonts w:hint="eastAsia" w:ascii="仿宋_GB2312" w:hAnsi="仿宋_GB2312" w:eastAsia="仿宋_GB2312" w:cs="仿宋_GB2312"/>
          <w:b w:val="0"/>
          <w:bCs w:val="0"/>
          <w:color w:val="000000" w:themeColor="text1"/>
          <w14:textFill>
            <w14:solidFill>
              <w14:schemeClr w14:val="tx1"/>
            </w14:solidFill>
          </w14:textFill>
        </w:rPr>
        <w:t>出决算表</w:t>
      </w:r>
      <w:bookmarkEnd w:id="84"/>
      <w:bookmarkEnd w:id="85"/>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b w:val="0"/>
          <w:color w:val="000000" w:themeColor="text1"/>
          <w14:textFill>
            <w14:solidFill>
              <w14:schemeClr w14:val="tx1"/>
            </w14:solidFill>
          </w14:textFill>
        </w:rPr>
      </w:pPr>
      <w:bookmarkStart w:id="86" w:name="_Toc8216"/>
      <w:bookmarkStart w:id="87" w:name="_Toc15396622"/>
      <w:r>
        <w:rPr>
          <w:rStyle w:val="31"/>
          <w:rFonts w:hint="eastAsia" w:ascii="仿宋_GB2312" w:hAnsi="仿宋_GB2312" w:eastAsia="仿宋_GB2312" w:cs="仿宋_GB2312"/>
          <w:b w:val="0"/>
          <w:bCs w:val="0"/>
          <w:color w:val="000000" w:themeColor="text1"/>
          <w14:textFill>
            <w14:solidFill>
              <w14:schemeClr w14:val="tx1"/>
            </w14:solidFill>
          </w14:textFill>
        </w:rPr>
        <w:t>四、</w:t>
      </w:r>
      <w:r>
        <w:rPr>
          <w:rFonts w:hint="eastAsia" w:ascii="仿宋_GB2312" w:hAnsi="仿宋_GB2312" w:eastAsia="仿宋_GB2312" w:cs="仿宋_GB2312"/>
          <w:b w:val="0"/>
          <w:color w:val="000000" w:themeColor="text1"/>
          <w14:textFill>
            <w14:solidFill>
              <w14:schemeClr w14:val="tx1"/>
            </w14:solidFill>
          </w14:textFill>
        </w:rPr>
        <w:t>财</w:t>
      </w:r>
      <w:r>
        <w:rPr>
          <w:rStyle w:val="31"/>
          <w:rFonts w:hint="eastAsia" w:ascii="仿宋_GB2312" w:hAnsi="仿宋_GB2312" w:eastAsia="仿宋_GB2312" w:cs="仿宋_GB2312"/>
          <w:b w:val="0"/>
          <w:bCs w:val="0"/>
          <w:color w:val="000000" w:themeColor="text1"/>
          <w14:textFill>
            <w14:solidFill>
              <w14:schemeClr w14:val="tx1"/>
            </w14:solidFill>
          </w14:textFill>
        </w:rPr>
        <w:t>政拨款收入支出决算总表</w:t>
      </w:r>
      <w:bookmarkEnd w:id="86"/>
      <w:bookmarkEnd w:id="87"/>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Style w:val="31"/>
          <w:rFonts w:hint="eastAsia" w:ascii="仿宋_GB2312" w:hAnsi="仿宋_GB2312" w:eastAsia="仿宋_GB2312" w:cs="仿宋_GB2312"/>
          <w:b w:val="0"/>
          <w:bCs w:val="0"/>
          <w:color w:val="000000" w:themeColor="text1"/>
          <w14:textFill>
            <w14:solidFill>
              <w14:schemeClr w14:val="tx1"/>
            </w14:solidFill>
          </w14:textFill>
        </w:rPr>
      </w:pPr>
      <w:bookmarkStart w:id="88" w:name="_Toc15396623"/>
      <w:bookmarkStart w:id="89" w:name="_Toc8688"/>
      <w:r>
        <w:rPr>
          <w:rStyle w:val="31"/>
          <w:rFonts w:hint="eastAsia" w:ascii="仿宋_GB2312" w:hAnsi="仿宋_GB2312" w:eastAsia="仿宋_GB2312" w:cs="仿宋_GB2312"/>
          <w:b w:val="0"/>
          <w:bCs w:val="0"/>
          <w:color w:val="000000" w:themeColor="text1"/>
          <w14:textFill>
            <w14:solidFill>
              <w14:schemeClr w14:val="tx1"/>
            </w14:solidFill>
          </w14:textFill>
        </w:rPr>
        <w:t>五、</w:t>
      </w:r>
      <w:r>
        <w:rPr>
          <w:rFonts w:hint="eastAsia" w:ascii="仿宋_GB2312" w:hAnsi="仿宋_GB2312" w:eastAsia="仿宋_GB2312" w:cs="仿宋_GB2312"/>
          <w:b w:val="0"/>
          <w:color w:val="000000" w:themeColor="text1"/>
          <w14:textFill>
            <w14:solidFill>
              <w14:schemeClr w14:val="tx1"/>
            </w14:solidFill>
          </w14:textFill>
        </w:rPr>
        <w:t>财</w:t>
      </w:r>
      <w:r>
        <w:rPr>
          <w:rStyle w:val="31"/>
          <w:rFonts w:hint="eastAsia" w:ascii="仿宋_GB2312" w:hAnsi="仿宋_GB2312" w:eastAsia="仿宋_GB2312" w:cs="仿宋_GB2312"/>
          <w:b w:val="0"/>
          <w:bCs w:val="0"/>
          <w:color w:val="000000" w:themeColor="text1"/>
          <w14:textFill>
            <w14:solidFill>
              <w14:schemeClr w14:val="tx1"/>
            </w14:solidFill>
          </w14:textFill>
        </w:rPr>
        <w:t>政拨款支出决算明细表</w:t>
      </w:r>
      <w:bookmarkEnd w:id="88"/>
      <w:bookmarkEnd w:id="89"/>
      <w:bookmarkStart w:id="90" w:name="_Toc15396624"/>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91" w:name="_Toc12014"/>
      <w:r>
        <w:rPr>
          <w:rStyle w:val="31"/>
          <w:rFonts w:hint="eastAsia" w:ascii="仿宋_GB2312" w:hAnsi="仿宋_GB2312" w:eastAsia="仿宋_GB2312" w:cs="仿宋_GB2312"/>
          <w:b w:val="0"/>
          <w:bCs w:val="0"/>
          <w:color w:val="000000" w:themeColor="text1"/>
          <w14:textFill>
            <w14:solidFill>
              <w14:schemeClr w14:val="tx1"/>
            </w14:solidFill>
          </w14:textFill>
        </w:rPr>
        <w:t>六、</w:t>
      </w:r>
      <w:r>
        <w:rPr>
          <w:rFonts w:hint="eastAsia" w:ascii="仿宋_GB2312" w:hAnsi="仿宋_GB2312" w:eastAsia="仿宋_GB2312" w:cs="仿宋_GB2312"/>
          <w:b w:val="0"/>
          <w:color w:val="000000" w:themeColor="text1"/>
          <w14:textFill>
            <w14:solidFill>
              <w14:schemeClr w14:val="tx1"/>
            </w14:solidFill>
          </w14:textFill>
        </w:rPr>
        <w:t>一</w:t>
      </w:r>
      <w:r>
        <w:rPr>
          <w:rStyle w:val="31"/>
          <w:rFonts w:hint="eastAsia" w:ascii="仿宋_GB2312" w:hAnsi="仿宋_GB2312" w:eastAsia="仿宋_GB2312" w:cs="仿宋_GB2312"/>
          <w:b w:val="0"/>
          <w:bCs w:val="0"/>
          <w:color w:val="000000" w:themeColor="text1"/>
          <w14:textFill>
            <w14:solidFill>
              <w14:schemeClr w14:val="tx1"/>
            </w14:solidFill>
          </w14:textFill>
        </w:rPr>
        <w:t>般公共预算财政拨款支出决算表</w:t>
      </w:r>
      <w:bookmarkEnd w:id="90"/>
      <w:bookmarkEnd w:id="91"/>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92" w:name="_Toc15396625"/>
      <w:bookmarkStart w:id="93" w:name="_Toc18705"/>
      <w:r>
        <w:rPr>
          <w:rStyle w:val="31"/>
          <w:rFonts w:hint="eastAsia" w:ascii="仿宋_GB2312" w:hAnsi="仿宋_GB2312" w:eastAsia="仿宋_GB2312" w:cs="仿宋_GB2312"/>
          <w:b w:val="0"/>
          <w:bCs w:val="0"/>
          <w:color w:val="000000" w:themeColor="text1"/>
          <w14:textFill>
            <w14:solidFill>
              <w14:schemeClr w14:val="tx1"/>
            </w14:solidFill>
          </w14:textFill>
        </w:rPr>
        <w:t>七、</w:t>
      </w:r>
      <w:r>
        <w:rPr>
          <w:rFonts w:hint="eastAsia" w:ascii="仿宋_GB2312" w:hAnsi="仿宋_GB2312" w:eastAsia="仿宋_GB2312" w:cs="仿宋_GB2312"/>
          <w:b w:val="0"/>
          <w:color w:val="000000" w:themeColor="text1"/>
          <w14:textFill>
            <w14:solidFill>
              <w14:schemeClr w14:val="tx1"/>
            </w14:solidFill>
          </w14:textFill>
        </w:rPr>
        <w:t>一</w:t>
      </w:r>
      <w:r>
        <w:rPr>
          <w:rStyle w:val="31"/>
          <w:rFonts w:hint="eastAsia" w:ascii="仿宋_GB2312" w:hAnsi="仿宋_GB2312" w:eastAsia="仿宋_GB2312" w:cs="仿宋_GB2312"/>
          <w:b w:val="0"/>
          <w:bCs w:val="0"/>
          <w:color w:val="000000" w:themeColor="text1"/>
          <w14:textFill>
            <w14:solidFill>
              <w14:schemeClr w14:val="tx1"/>
            </w14:solidFill>
          </w14:textFill>
        </w:rPr>
        <w:t>般公共预算财政拨款支出决算明细表</w:t>
      </w:r>
      <w:bookmarkEnd w:id="92"/>
      <w:bookmarkEnd w:id="93"/>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94" w:name="_Toc3393"/>
      <w:bookmarkStart w:id="95" w:name="_Toc15396626"/>
      <w:r>
        <w:rPr>
          <w:rStyle w:val="31"/>
          <w:rFonts w:hint="eastAsia" w:ascii="仿宋_GB2312" w:hAnsi="仿宋_GB2312" w:eastAsia="仿宋_GB2312" w:cs="仿宋_GB2312"/>
          <w:b w:val="0"/>
          <w:bCs w:val="0"/>
          <w:color w:val="000000" w:themeColor="text1"/>
          <w14:textFill>
            <w14:solidFill>
              <w14:schemeClr w14:val="tx1"/>
            </w14:solidFill>
          </w14:textFill>
        </w:rPr>
        <w:t>八、</w:t>
      </w:r>
      <w:r>
        <w:rPr>
          <w:rFonts w:hint="eastAsia" w:ascii="仿宋_GB2312" w:hAnsi="仿宋_GB2312" w:eastAsia="仿宋_GB2312" w:cs="仿宋_GB2312"/>
          <w:b w:val="0"/>
          <w:color w:val="000000" w:themeColor="text1"/>
          <w14:textFill>
            <w14:solidFill>
              <w14:schemeClr w14:val="tx1"/>
            </w14:solidFill>
          </w14:textFill>
        </w:rPr>
        <w:t>一</w:t>
      </w:r>
      <w:r>
        <w:rPr>
          <w:rStyle w:val="31"/>
          <w:rFonts w:hint="eastAsia" w:ascii="仿宋_GB2312" w:hAnsi="仿宋_GB2312" w:eastAsia="仿宋_GB2312" w:cs="仿宋_GB2312"/>
          <w:b w:val="0"/>
          <w:bCs w:val="0"/>
          <w:color w:val="000000" w:themeColor="text1"/>
          <w14:textFill>
            <w14:solidFill>
              <w14:schemeClr w14:val="tx1"/>
            </w14:solidFill>
          </w14:textFill>
        </w:rPr>
        <w:t>般公共预算财政拨款基本支出决算表</w:t>
      </w:r>
      <w:bookmarkEnd w:id="94"/>
      <w:bookmarkEnd w:id="95"/>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96" w:name="_Toc18197"/>
      <w:bookmarkStart w:id="97" w:name="_Toc15396627"/>
      <w:r>
        <w:rPr>
          <w:rStyle w:val="31"/>
          <w:rFonts w:hint="eastAsia" w:ascii="仿宋_GB2312" w:hAnsi="仿宋_GB2312" w:eastAsia="仿宋_GB2312" w:cs="仿宋_GB2312"/>
          <w:b w:val="0"/>
          <w:bCs w:val="0"/>
          <w:color w:val="000000" w:themeColor="text1"/>
          <w14:textFill>
            <w14:solidFill>
              <w14:schemeClr w14:val="tx1"/>
            </w14:solidFill>
          </w14:textFill>
        </w:rPr>
        <w:t>九、</w:t>
      </w:r>
      <w:r>
        <w:rPr>
          <w:rFonts w:hint="eastAsia" w:ascii="仿宋_GB2312" w:hAnsi="仿宋_GB2312" w:eastAsia="仿宋_GB2312" w:cs="仿宋_GB2312"/>
          <w:b w:val="0"/>
          <w:color w:val="000000" w:themeColor="text1"/>
          <w14:textFill>
            <w14:solidFill>
              <w14:schemeClr w14:val="tx1"/>
            </w14:solidFill>
          </w14:textFill>
        </w:rPr>
        <w:t>一</w:t>
      </w:r>
      <w:r>
        <w:rPr>
          <w:rStyle w:val="31"/>
          <w:rFonts w:hint="eastAsia" w:ascii="仿宋_GB2312" w:hAnsi="仿宋_GB2312" w:eastAsia="仿宋_GB2312" w:cs="仿宋_GB2312"/>
          <w:b w:val="0"/>
          <w:bCs w:val="0"/>
          <w:color w:val="000000" w:themeColor="text1"/>
          <w14:textFill>
            <w14:solidFill>
              <w14:schemeClr w14:val="tx1"/>
            </w14:solidFill>
          </w14:textFill>
        </w:rPr>
        <w:t>般公共预算财政拨款项目支出决算表</w:t>
      </w:r>
      <w:bookmarkEnd w:id="96"/>
      <w:bookmarkEnd w:id="97"/>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98" w:name="_Toc15396628"/>
      <w:bookmarkStart w:id="99" w:name="_Toc3042"/>
      <w:r>
        <w:rPr>
          <w:rStyle w:val="31"/>
          <w:rFonts w:hint="eastAsia" w:ascii="仿宋_GB2312" w:hAnsi="仿宋_GB2312" w:eastAsia="仿宋_GB2312" w:cs="仿宋_GB2312"/>
          <w:b w:val="0"/>
          <w:bCs w:val="0"/>
          <w:color w:val="000000" w:themeColor="text1"/>
          <w14:textFill>
            <w14:solidFill>
              <w14:schemeClr w14:val="tx1"/>
            </w14:solidFill>
          </w14:textFill>
        </w:rPr>
        <w:t>十、</w:t>
      </w:r>
      <w:bookmarkEnd w:id="98"/>
      <w:r>
        <w:rPr>
          <w:rFonts w:hint="eastAsia" w:ascii="仿宋_GB2312" w:hAnsi="仿宋_GB2312" w:eastAsia="仿宋_GB2312" w:cs="仿宋_GB2312"/>
          <w:b w:val="0"/>
          <w:color w:val="000000" w:themeColor="text1"/>
          <w14:textFill>
            <w14:solidFill>
              <w14:schemeClr w14:val="tx1"/>
            </w14:solidFill>
          </w14:textFill>
        </w:rPr>
        <w:t>政</w:t>
      </w:r>
      <w:r>
        <w:rPr>
          <w:rStyle w:val="31"/>
          <w:rFonts w:hint="eastAsia" w:ascii="仿宋_GB2312" w:hAnsi="仿宋_GB2312" w:eastAsia="仿宋_GB2312" w:cs="仿宋_GB2312"/>
          <w:b w:val="0"/>
          <w:bCs w:val="0"/>
          <w:color w:val="000000" w:themeColor="text1"/>
          <w14:textFill>
            <w14:solidFill>
              <w14:schemeClr w14:val="tx1"/>
            </w14:solidFill>
          </w14:textFill>
        </w:rPr>
        <w:t>府性基金预算财政拨款收入支出决算表</w:t>
      </w:r>
      <w:bookmarkEnd w:id="99"/>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100" w:name="_Toc15396629"/>
      <w:bookmarkStart w:id="101" w:name="_Toc5714"/>
      <w:r>
        <w:rPr>
          <w:rStyle w:val="31"/>
          <w:rFonts w:hint="eastAsia" w:ascii="仿宋_GB2312" w:hAnsi="仿宋_GB2312" w:eastAsia="仿宋_GB2312" w:cs="仿宋_GB2312"/>
          <w:b w:val="0"/>
          <w:bCs w:val="0"/>
          <w:color w:val="000000" w:themeColor="text1"/>
          <w14:textFill>
            <w14:solidFill>
              <w14:schemeClr w14:val="tx1"/>
            </w14:solidFill>
          </w14:textFill>
        </w:rPr>
        <w:t>十一、</w:t>
      </w:r>
      <w:bookmarkEnd w:id="100"/>
      <w:r>
        <w:rPr>
          <w:rFonts w:hint="eastAsia" w:ascii="仿宋_GB2312" w:hAnsi="仿宋_GB2312" w:eastAsia="仿宋_GB2312" w:cs="仿宋_GB2312"/>
          <w:b w:val="0"/>
          <w:color w:val="000000" w:themeColor="text1"/>
          <w14:textFill>
            <w14:solidFill>
              <w14:schemeClr w14:val="tx1"/>
            </w14:solidFill>
          </w14:textFill>
        </w:rPr>
        <w:t>国</w:t>
      </w:r>
      <w:r>
        <w:rPr>
          <w:rStyle w:val="31"/>
          <w:rFonts w:hint="eastAsia" w:ascii="仿宋_GB2312" w:hAnsi="仿宋_GB2312" w:eastAsia="仿宋_GB2312" w:cs="仿宋_GB2312"/>
          <w:b w:val="0"/>
          <w:bCs w:val="0"/>
          <w:color w:val="000000" w:themeColor="text1"/>
          <w14:textFill>
            <w14:solidFill>
              <w14:schemeClr w14:val="tx1"/>
            </w14:solidFill>
          </w14:textFill>
        </w:rPr>
        <w:t>有资本经营预算财政拨款收入支出决算表</w:t>
      </w:r>
      <w:bookmarkEnd w:id="101"/>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102" w:name="_Toc15396630"/>
      <w:bookmarkStart w:id="103" w:name="_Toc7530"/>
      <w:r>
        <w:rPr>
          <w:rStyle w:val="31"/>
          <w:rFonts w:hint="eastAsia" w:ascii="仿宋_GB2312" w:hAnsi="仿宋_GB2312" w:eastAsia="仿宋_GB2312" w:cs="仿宋_GB2312"/>
          <w:b w:val="0"/>
          <w:bCs w:val="0"/>
          <w:color w:val="000000" w:themeColor="text1"/>
          <w14:textFill>
            <w14:solidFill>
              <w14:schemeClr w14:val="tx1"/>
            </w14:solidFill>
          </w14:textFill>
        </w:rPr>
        <w:t>十二、</w:t>
      </w:r>
      <w:bookmarkEnd w:id="102"/>
      <w:r>
        <w:rPr>
          <w:rStyle w:val="31"/>
          <w:rFonts w:hint="eastAsia" w:ascii="仿宋_GB2312" w:hAnsi="仿宋_GB2312" w:eastAsia="仿宋_GB2312" w:cs="仿宋_GB2312"/>
          <w:b w:val="0"/>
          <w:bCs w:val="0"/>
          <w:color w:val="000000" w:themeColor="text1"/>
          <w14:textFill>
            <w14:solidFill>
              <w14:schemeClr w14:val="tx1"/>
            </w14:solidFill>
          </w14:textFill>
        </w:rPr>
        <w:t>国有资本经营预算财政拨款支出决算表</w:t>
      </w:r>
      <w:bookmarkEnd w:id="103"/>
    </w:p>
    <w:p>
      <w:pPr>
        <w:pStyle w:val="3"/>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bookmarkStart w:id="104" w:name="_Toc15396631"/>
      <w:bookmarkStart w:id="105" w:name="_Toc16918"/>
      <w:r>
        <w:rPr>
          <w:rStyle w:val="31"/>
          <w:rFonts w:hint="eastAsia" w:ascii="仿宋_GB2312" w:hAnsi="仿宋_GB2312" w:eastAsia="仿宋_GB2312" w:cs="仿宋_GB2312"/>
          <w:b w:val="0"/>
          <w:bCs w:val="0"/>
          <w:color w:val="000000" w:themeColor="text1"/>
          <w14:textFill>
            <w14:solidFill>
              <w14:schemeClr w14:val="tx1"/>
            </w14:solidFill>
          </w14:textFill>
        </w:rPr>
        <w:t>十三、</w:t>
      </w:r>
      <w:bookmarkEnd w:id="104"/>
      <w:r>
        <w:rPr>
          <w:rStyle w:val="31"/>
          <w:rFonts w:hint="eastAsia" w:ascii="仿宋_GB2312" w:hAnsi="仿宋_GB2312" w:eastAsia="仿宋_GB2312" w:cs="仿宋_GB2312"/>
          <w:b w:val="0"/>
          <w:bCs w:val="0"/>
          <w:color w:val="000000" w:themeColor="text1"/>
          <w14:textFill>
            <w14:solidFill>
              <w14:schemeClr w14:val="tx1"/>
            </w14:solidFill>
          </w14:textFill>
        </w:rPr>
        <w:t>财政拨款“三公”经费支出决算表</w:t>
      </w:r>
      <w:bookmarkEnd w:id="105"/>
    </w:p>
    <w:sectPr>
      <w:pgSz w:w="11906" w:h="16838"/>
      <w:pgMar w:top="2098" w:right="1474" w:bottom="1984" w:left="1587" w:header="851" w:footer="1531"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8845"/>
        <w:tab w:val="clear" w:pos="4153"/>
      </w:tabs>
    </w:pPr>
    <w:r>
      <w:rPr>
        <w:rFonts w:hint="eastAsia" w:asciiTheme="minorEastAsia" w:hAnsiTheme="minorEastAsia" w:eastAsiaTheme="minorEastAsia" w:cstheme="minorEastAsia"/>
        <w:lang w:eastAsia="zh-CN"/>
      </w:rPr>
      <w:tab/>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8845"/>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jDgrMgIAAGE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KAAAAAACHTuJAAAAAAAAAAAAAAAAABgAAAAAA&#10;AAAAABAAAACTAwAAX3JlbHMvUEsBAhQACgAAAAAAh07iQAAAAAAAAAAAAAAAAAQAAAAAAAAAAAAQ&#10;AAAAFgAAAGRycy9QSwECFAAUAAAACACHTuJAuow4KzICAABhBAAADgAAAAAAAAABACAAAAA1AQAA&#10;ZHJzL2Uyb0RvYy54bWxQSwECFAAUAAAACACHTuJAs0lY7tAAAAAFAQAADwAAAAAAAAABACAAAAA4&#10;AAAAZHJzL2Rvd25yZXYueG1sUEsFBgAAAAAGAAYAWQEAANkFAAAAAA==&#10;">
              <v:fill on="f" focussize="0,0"/>
              <v:stroke on="f" weight="0.5pt"/>
              <v:imagedata o:title=""/>
              <o:lock v:ext="edit" aspectratio="f"/>
              <v:textbox inset="0mm,0mm,0mm,0mm" style="mso-fit-shape-to-text:t;">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r>
      <w:rPr>
        <w:rFonts w:hint="eastAsia" w:asciiTheme="minorEastAsia" w:hAnsiTheme="minorEastAsia" w:eastAsiaTheme="minorEastAsia" w:cstheme="minorEastAsia"/>
        <w:lang w:eastAsia="zh-CN"/>
      </w:rPr>
      <w:tab/>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k+9p2Mg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KAAAAAACHTuJAAAAAAAAAAAAAAAAABgAAAAAA&#10;AAAAABAAAACTAwAAX3JlbHMvUEsBAhQACgAAAAAAh07iQAAAAAAAAAAAAAAAAAQAAAAAAAAAAAAQ&#10;AAAAFgAAAGRycy9QSwECFAAUAAAACACHTuJApPvadjICAABjBAAADgAAAAAAAAABACAAAAA1AQAA&#10;ZHJzL2Uyb0RvYy54bWxQSwECFAAUAAAACACHTuJAs0lY7tAAAAAFAQAADwAAAAAAAAABACAAAAA4&#10;AAAAZHJzL2Rvd25yZXYueG1sUEsFBgAAAAAGAAYAWQEAANkFAAAAAA==&#10;">
              <v:fill on="f" focussize="0,0"/>
              <v:stroke on="f" weight="0.5pt"/>
              <v:imagedata o:title=""/>
              <o:lock v:ext="edit" aspectratio="f"/>
              <v:textbox inset="0mm,0mm,0mm,0mm" style="mso-fit-shape-to-text:t;">
                <w:txbxContent>
                  <w:p>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F27FEB95"/>
    <w:multiLevelType w:val="singleLevel"/>
    <w:tmpl w:val="F27FEB95"/>
    <w:lvl w:ilvl="0" w:tentative="0">
      <w:start w:val="3"/>
      <w:numFmt w:val="chineseCounting"/>
      <w:suff w:val="nothing"/>
      <w:lvlText w:val="（%1）"/>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4MmNiNzYwMDA1N2M3ZWFkN2FmYTJkOWQwYmI1M2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54018C7"/>
    <w:rsid w:val="081B5E94"/>
    <w:rsid w:val="0A2032A3"/>
    <w:rsid w:val="0B8A37D8"/>
    <w:rsid w:val="0F5FFB2F"/>
    <w:rsid w:val="0FFFCF60"/>
    <w:rsid w:val="10C055FF"/>
    <w:rsid w:val="118107EC"/>
    <w:rsid w:val="11DD6519"/>
    <w:rsid w:val="12B64AD6"/>
    <w:rsid w:val="14E31369"/>
    <w:rsid w:val="16BB723D"/>
    <w:rsid w:val="16F3E32E"/>
    <w:rsid w:val="179F7087"/>
    <w:rsid w:val="18015F3F"/>
    <w:rsid w:val="1BE8440E"/>
    <w:rsid w:val="1D155CEE"/>
    <w:rsid w:val="1F7F96CA"/>
    <w:rsid w:val="1FDBBF84"/>
    <w:rsid w:val="20C71F84"/>
    <w:rsid w:val="20F57F95"/>
    <w:rsid w:val="240371BF"/>
    <w:rsid w:val="25427252"/>
    <w:rsid w:val="25711CC6"/>
    <w:rsid w:val="25C741E6"/>
    <w:rsid w:val="276F80C0"/>
    <w:rsid w:val="27842671"/>
    <w:rsid w:val="27E40435"/>
    <w:rsid w:val="28FF0A35"/>
    <w:rsid w:val="29FD04D3"/>
    <w:rsid w:val="2A5E151F"/>
    <w:rsid w:val="2ABE7A3E"/>
    <w:rsid w:val="2AFF09B6"/>
    <w:rsid w:val="2CA234A8"/>
    <w:rsid w:val="2D3B28F7"/>
    <w:rsid w:val="2EFA178C"/>
    <w:rsid w:val="2EFDF86C"/>
    <w:rsid w:val="2F9D17E1"/>
    <w:rsid w:val="30B46D73"/>
    <w:rsid w:val="319F7F4E"/>
    <w:rsid w:val="344902DE"/>
    <w:rsid w:val="356A28F1"/>
    <w:rsid w:val="357C035A"/>
    <w:rsid w:val="368E000D"/>
    <w:rsid w:val="37F60319"/>
    <w:rsid w:val="383D272C"/>
    <w:rsid w:val="386A72E1"/>
    <w:rsid w:val="39AE70AB"/>
    <w:rsid w:val="3A4DCE41"/>
    <w:rsid w:val="3AE37C7C"/>
    <w:rsid w:val="3B7E3DD5"/>
    <w:rsid w:val="3BC67AF5"/>
    <w:rsid w:val="3BCB56FA"/>
    <w:rsid w:val="3C0C0783"/>
    <w:rsid w:val="3CF2133D"/>
    <w:rsid w:val="3DFF7955"/>
    <w:rsid w:val="3EE7C2F4"/>
    <w:rsid w:val="3F371B56"/>
    <w:rsid w:val="3F792ED8"/>
    <w:rsid w:val="3F9F3A96"/>
    <w:rsid w:val="3FDE5053"/>
    <w:rsid w:val="3FECA4B2"/>
    <w:rsid w:val="3FF58C48"/>
    <w:rsid w:val="40841D1A"/>
    <w:rsid w:val="42FF6694"/>
    <w:rsid w:val="48BF60AB"/>
    <w:rsid w:val="493C27E9"/>
    <w:rsid w:val="496F39ED"/>
    <w:rsid w:val="49FF41D3"/>
    <w:rsid w:val="4AE061F2"/>
    <w:rsid w:val="4BC26ED6"/>
    <w:rsid w:val="4BE068DB"/>
    <w:rsid w:val="4BEFAB84"/>
    <w:rsid w:val="4BF6002B"/>
    <w:rsid w:val="4BFFC6BE"/>
    <w:rsid w:val="4ECE2238"/>
    <w:rsid w:val="50195AD8"/>
    <w:rsid w:val="51B75DDC"/>
    <w:rsid w:val="51DB4B86"/>
    <w:rsid w:val="51F64DB0"/>
    <w:rsid w:val="55333C3E"/>
    <w:rsid w:val="574FA39F"/>
    <w:rsid w:val="598FD9F6"/>
    <w:rsid w:val="5A73909D"/>
    <w:rsid w:val="5C987E42"/>
    <w:rsid w:val="5F67802D"/>
    <w:rsid w:val="5F7DC4F2"/>
    <w:rsid w:val="5FB36814"/>
    <w:rsid w:val="5FBB8E56"/>
    <w:rsid w:val="5FFB5535"/>
    <w:rsid w:val="64CA39A1"/>
    <w:rsid w:val="673E1434"/>
    <w:rsid w:val="69630ADE"/>
    <w:rsid w:val="69BD5F13"/>
    <w:rsid w:val="69FB0B4B"/>
    <w:rsid w:val="6BFFE1FB"/>
    <w:rsid w:val="6C4A05C8"/>
    <w:rsid w:val="6D3B1A89"/>
    <w:rsid w:val="6DB7D8A3"/>
    <w:rsid w:val="6EC78701"/>
    <w:rsid w:val="6F7A5481"/>
    <w:rsid w:val="6FDF3D09"/>
    <w:rsid w:val="6FFA13FC"/>
    <w:rsid w:val="6FFE07A9"/>
    <w:rsid w:val="71BF4EC2"/>
    <w:rsid w:val="72734D90"/>
    <w:rsid w:val="73E75B71"/>
    <w:rsid w:val="7412278C"/>
    <w:rsid w:val="745A60BC"/>
    <w:rsid w:val="749576BA"/>
    <w:rsid w:val="751B4C1B"/>
    <w:rsid w:val="75DDCDA9"/>
    <w:rsid w:val="75FF44B1"/>
    <w:rsid w:val="77670518"/>
    <w:rsid w:val="777FA627"/>
    <w:rsid w:val="77DF1B5F"/>
    <w:rsid w:val="77EF2D9D"/>
    <w:rsid w:val="79D7269A"/>
    <w:rsid w:val="79E7B28D"/>
    <w:rsid w:val="7ACFF0C2"/>
    <w:rsid w:val="7AFB9108"/>
    <w:rsid w:val="7BD5340C"/>
    <w:rsid w:val="7BFB19D2"/>
    <w:rsid w:val="7BFD1750"/>
    <w:rsid w:val="7BFDAA1B"/>
    <w:rsid w:val="7C163A3E"/>
    <w:rsid w:val="7CDF9A82"/>
    <w:rsid w:val="7CFFA1BD"/>
    <w:rsid w:val="7D2E3F7A"/>
    <w:rsid w:val="7DED9490"/>
    <w:rsid w:val="7DFD3506"/>
    <w:rsid w:val="7DFF4872"/>
    <w:rsid w:val="7E7487E6"/>
    <w:rsid w:val="7E7C2A54"/>
    <w:rsid w:val="7EED644F"/>
    <w:rsid w:val="7EEEFD72"/>
    <w:rsid w:val="7F1D517C"/>
    <w:rsid w:val="7F5DA057"/>
    <w:rsid w:val="7F6C2237"/>
    <w:rsid w:val="7F7F319B"/>
    <w:rsid w:val="7F9F20EE"/>
    <w:rsid w:val="7FBBE890"/>
    <w:rsid w:val="7FBC2ABD"/>
    <w:rsid w:val="7FBF5D48"/>
    <w:rsid w:val="7FCCFC01"/>
    <w:rsid w:val="7FDD1748"/>
    <w:rsid w:val="7FDEBC8D"/>
    <w:rsid w:val="7FE769C6"/>
    <w:rsid w:val="7FFD083E"/>
    <w:rsid w:val="7FFF9372"/>
    <w:rsid w:val="84BF1F3B"/>
    <w:rsid w:val="8F55B106"/>
    <w:rsid w:val="95DF317D"/>
    <w:rsid w:val="97E77C70"/>
    <w:rsid w:val="9E3A10E2"/>
    <w:rsid w:val="9FB91FBD"/>
    <w:rsid w:val="9FD54998"/>
    <w:rsid w:val="A671883B"/>
    <w:rsid w:val="A7EFD17F"/>
    <w:rsid w:val="A7FFE43F"/>
    <w:rsid w:val="AB43B651"/>
    <w:rsid w:val="B7FFAB74"/>
    <w:rsid w:val="BDFEA317"/>
    <w:rsid w:val="BF3EE9C7"/>
    <w:rsid w:val="BFED6389"/>
    <w:rsid w:val="BFFF4DEE"/>
    <w:rsid w:val="CD9BBABB"/>
    <w:rsid w:val="CE5262D4"/>
    <w:rsid w:val="CF99F292"/>
    <w:rsid w:val="CFC68E65"/>
    <w:rsid w:val="D5DA60B3"/>
    <w:rsid w:val="D7B6EECA"/>
    <w:rsid w:val="D7C6F579"/>
    <w:rsid w:val="D8FECA92"/>
    <w:rsid w:val="DAFFBE66"/>
    <w:rsid w:val="DD2C0BFE"/>
    <w:rsid w:val="DE3F332B"/>
    <w:rsid w:val="DE6F4A3D"/>
    <w:rsid w:val="DF69F8B0"/>
    <w:rsid w:val="DFC71555"/>
    <w:rsid w:val="DFFC559C"/>
    <w:rsid w:val="DFFEDFAE"/>
    <w:rsid w:val="DFFFB5EB"/>
    <w:rsid w:val="E4B33E57"/>
    <w:rsid w:val="E5BF946A"/>
    <w:rsid w:val="E77F3856"/>
    <w:rsid w:val="EB39BD45"/>
    <w:rsid w:val="EBCF1FC2"/>
    <w:rsid w:val="EBD18F66"/>
    <w:rsid w:val="ED17392C"/>
    <w:rsid w:val="ED9FFD9A"/>
    <w:rsid w:val="EDB7968B"/>
    <w:rsid w:val="EDB8ED6A"/>
    <w:rsid w:val="EDF70C4A"/>
    <w:rsid w:val="EEF73F60"/>
    <w:rsid w:val="EF77B0E9"/>
    <w:rsid w:val="EFED9E42"/>
    <w:rsid w:val="EFF59924"/>
    <w:rsid w:val="EFFFB194"/>
    <w:rsid w:val="F2E1F9D4"/>
    <w:rsid w:val="F361F4CB"/>
    <w:rsid w:val="F4DFD2F0"/>
    <w:rsid w:val="F5FF7449"/>
    <w:rsid w:val="F7880819"/>
    <w:rsid w:val="F7AF180D"/>
    <w:rsid w:val="F7BDBFA7"/>
    <w:rsid w:val="F7FAD68F"/>
    <w:rsid w:val="F7FB14CF"/>
    <w:rsid w:val="F92D4F7A"/>
    <w:rsid w:val="FB3FC69C"/>
    <w:rsid w:val="FB7A8F39"/>
    <w:rsid w:val="FBDFF225"/>
    <w:rsid w:val="FBF7AB63"/>
    <w:rsid w:val="FC2F3373"/>
    <w:rsid w:val="FCF51535"/>
    <w:rsid w:val="FD77F6B8"/>
    <w:rsid w:val="FDD69328"/>
    <w:rsid w:val="FDDFEC0E"/>
    <w:rsid w:val="FDE58BDD"/>
    <w:rsid w:val="FDEC7001"/>
    <w:rsid w:val="FE7F0F4B"/>
    <w:rsid w:val="FEDFE87F"/>
    <w:rsid w:val="FEF1D25B"/>
    <w:rsid w:val="FF3EF90F"/>
    <w:rsid w:val="FFAE5A8F"/>
    <w:rsid w:val="FFAEDB03"/>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7"/>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3"/>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Body Text First Indent 2"/>
    <w:basedOn w:val="6"/>
    <w:next w:val="1"/>
    <w:unhideWhenUsed/>
    <w:qFormat/>
    <w:uiPriority w:val="99"/>
    <w:pPr>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2 Char"/>
    <w:basedOn w:val="17"/>
    <w:link w:val="3"/>
    <w:qFormat/>
    <w:uiPriority w:val="9"/>
    <w:rPr>
      <w:rFonts w:ascii="Cambria" w:hAnsi="Cambria" w:eastAsia="宋体" w:cs="Times New Roman"/>
      <w:b/>
      <w:bCs/>
      <w:kern w:val="2"/>
      <w:sz w:val="32"/>
      <w:szCs w:val="32"/>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7"/>
    <w:semiHidden/>
    <w:qFormat/>
    <w:uiPriority w:val="99"/>
    <w:rPr>
      <w:rFonts w:ascii="Times New Roman" w:hAnsi="Times New Roman"/>
      <w:sz w:val="18"/>
      <w:szCs w:val="18"/>
    </w:rPr>
  </w:style>
  <w:style w:type="character" w:customStyle="1" w:styleId="23">
    <w:name w:val="页眉 字符"/>
    <w:link w:val="10"/>
    <w:semiHidden/>
    <w:qFormat/>
    <w:locked/>
    <w:uiPriority w:val="99"/>
    <w:rPr>
      <w:sz w:val="18"/>
    </w:rPr>
  </w:style>
  <w:style w:type="character" w:customStyle="1" w:styleId="24">
    <w:name w:val="Footer Char"/>
    <w:basedOn w:val="17"/>
    <w:semiHidden/>
    <w:qFormat/>
    <w:uiPriority w:val="99"/>
    <w:rPr>
      <w:rFonts w:ascii="Times New Roman" w:hAnsi="Times New Roman"/>
      <w:sz w:val="18"/>
      <w:szCs w:val="18"/>
    </w:rPr>
  </w:style>
  <w:style w:type="character" w:customStyle="1" w:styleId="25">
    <w:name w:val="页脚 字符"/>
    <w:link w:val="9"/>
    <w:qFormat/>
    <w:locked/>
    <w:uiPriority w:val="99"/>
    <w:rPr>
      <w:sz w:val="18"/>
    </w:rPr>
  </w:style>
  <w:style w:type="character" w:customStyle="1" w:styleId="26">
    <w:name w:val="Body Text Char"/>
    <w:basedOn w:val="17"/>
    <w:semiHidden/>
    <w:qFormat/>
    <w:uiPriority w:val="99"/>
    <w:rPr>
      <w:rFonts w:ascii="Times New Roman" w:hAnsi="Times New Roman"/>
      <w:szCs w:val="24"/>
    </w:rPr>
  </w:style>
  <w:style w:type="character" w:customStyle="1" w:styleId="27">
    <w:name w:val="正文文本 字符"/>
    <w:link w:val="5"/>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7"/>
    <w:link w:val="2"/>
    <w:qFormat/>
    <w:uiPriority w:val="9"/>
    <w:rPr>
      <w:rFonts w:ascii="Times New Roman" w:hAnsi="Times New Roman"/>
      <w:b/>
      <w:bCs/>
      <w:kern w:val="44"/>
      <w:sz w:val="44"/>
      <w:szCs w:val="44"/>
    </w:rPr>
  </w:style>
  <w:style w:type="character" w:customStyle="1" w:styleId="31">
    <w:name w:val="标题 2 字符"/>
    <w:basedOn w:val="17"/>
    <w:link w:val="3"/>
    <w:qFormat/>
    <w:uiPriority w:val="9"/>
    <w:rPr>
      <w:rFonts w:asciiTheme="majorHAnsi" w:hAnsiTheme="majorHAnsi" w:eastAsiaTheme="majorEastAsia" w:cstheme="majorBidi"/>
      <w:b/>
      <w:bCs/>
      <w:kern w:val="2"/>
      <w:sz w:val="32"/>
      <w:szCs w:val="32"/>
    </w:rPr>
  </w:style>
  <w:style w:type="paragraph" w:customStyle="1" w:styleId="3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7"/>
    <w:link w:val="8"/>
    <w:semiHidden/>
    <w:qFormat/>
    <w:uiPriority w:val="99"/>
    <w:rPr>
      <w:rFonts w:ascii="Times New Roman" w:hAnsi="Times New Roman"/>
      <w:kern w:val="2"/>
      <w:sz w:val="18"/>
      <w:szCs w:val="18"/>
    </w:rPr>
  </w:style>
  <w:style w:type="character" w:customStyle="1" w:styleId="34">
    <w:name w:val="标题 3 字符"/>
    <w:basedOn w:val="17"/>
    <w:link w:val="4"/>
    <w:qFormat/>
    <w:uiPriority w:val="9"/>
    <w:rPr>
      <w:rFonts w:ascii="Times New Roman" w:hAnsi="Times New Roman"/>
      <w:b/>
      <w:bCs/>
      <w:kern w:val="2"/>
      <w:sz w:val="32"/>
      <w:szCs w:val="32"/>
    </w:rPr>
  </w:style>
  <w:style w:type="paragraph" w:customStyle="1" w:styleId="3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278.83</c:v>
                </c:pt>
                <c:pt idx="1">
                  <c:v>305.25</c:v>
                </c:pt>
              </c:numCache>
            </c:numRef>
          </c:val>
        </c:ser>
        <c:dLbls>
          <c:showLegendKey val="0"/>
          <c:showVal val="1"/>
          <c:showCatName val="0"/>
          <c:showSerName val="0"/>
          <c:showPercent val="0"/>
          <c:showBubbleSize val="0"/>
        </c:dLbls>
        <c:gapWidth val="246"/>
        <c:overlap val="-28"/>
        <c:axId val="147631488"/>
        <c:axId val="147821696"/>
      </c:barChart>
      <c:catAx>
        <c:axId val="14763148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7821696"/>
        <c:crosses val="autoZero"/>
        <c:auto val="1"/>
        <c:lblAlgn val="ctr"/>
        <c:lblOffset val="100"/>
        <c:noMultiLvlLbl val="0"/>
      </c:catAx>
      <c:valAx>
        <c:axId val="147821696"/>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7631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一般公共预算财政拨款收入305.25万元</c:v>
                </c:pt>
              </c:strCache>
            </c:strRef>
          </c:cat>
          <c:val>
            <c:numRef>
              <c:f>Sheet1!$B$2</c:f>
              <c:numCache>
                <c:formatCode>General</c:formatCode>
                <c:ptCount val="1"/>
                <c:pt idx="0">
                  <c:v>305.25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136748006764919"/>
          <c:y val="0.0266977708657335"/>
          <c:w val="0.757912539260691"/>
          <c:h val="0.1093831000518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基本支出203.53万元</c:v>
                </c:pt>
                <c:pt idx="1">
                  <c:v>项目支出101.58万元</c:v>
                </c:pt>
              </c:strCache>
            </c:strRef>
          </c:cat>
          <c:val>
            <c:numRef>
              <c:f>Sheet1!$B$2:$B$3</c:f>
              <c:numCache>
                <c:formatCode>General</c:formatCode>
                <c:ptCount val="2"/>
                <c:pt idx="0">
                  <c:v>203.53</c:v>
                </c:pt>
                <c:pt idx="1">
                  <c:v>101.58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23689296931626"/>
          <c:y val="0.0301962757926522"/>
          <c:w val="0.609325924136265"/>
          <c:h val="0.115752390538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278.83</c:v>
                </c:pt>
                <c:pt idx="1">
                  <c:v>305.25</c:v>
                </c:pt>
              </c:numCache>
            </c:numRef>
          </c:val>
        </c:ser>
        <c:dLbls>
          <c:showLegendKey val="0"/>
          <c:showVal val="1"/>
          <c:showCatName val="0"/>
          <c:showSerName val="0"/>
          <c:showPercent val="0"/>
          <c:showBubbleSize val="0"/>
        </c:dLbls>
        <c:gapWidth val="246"/>
        <c:overlap val="-28"/>
        <c:axId val="158681344"/>
        <c:axId val="158687232"/>
      </c:barChart>
      <c:catAx>
        <c:axId val="15868134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687232"/>
        <c:crosses val="autoZero"/>
        <c:auto val="1"/>
        <c:lblAlgn val="ctr"/>
        <c:lblOffset val="100"/>
        <c:noMultiLvlLbl val="0"/>
      </c:catAx>
      <c:valAx>
        <c:axId val="15868723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6813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278.83</c:v>
                </c:pt>
                <c:pt idx="1">
                  <c:v>305.1</c:v>
                </c:pt>
              </c:numCache>
            </c:numRef>
          </c:val>
        </c:ser>
        <c:dLbls>
          <c:showLegendKey val="0"/>
          <c:showVal val="1"/>
          <c:showCatName val="0"/>
          <c:showSerName val="0"/>
          <c:showPercent val="0"/>
          <c:showBubbleSize val="0"/>
        </c:dLbls>
        <c:gapWidth val="246"/>
        <c:overlap val="-28"/>
        <c:axId val="158707072"/>
        <c:axId val="158708864"/>
      </c:barChart>
      <c:catAx>
        <c:axId val="1587070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708864"/>
        <c:crosses val="autoZero"/>
        <c:auto val="1"/>
        <c:lblAlgn val="ctr"/>
        <c:lblOffset val="100"/>
        <c:noMultiLvlLbl val="0"/>
      </c:catAx>
      <c:valAx>
        <c:axId val="158708864"/>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707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1"/>
              <c:layout>
                <c:manualLayout>
                  <c:x val="-0.014020890309662"/>
                  <c:y val="0.016553961044442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257497265690989"/>
                  <c:y val="0.017243971550074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一般公共服务支出265.89万元</c:v>
                </c:pt>
                <c:pt idx="1">
                  <c:v>社会保障和就业支出12.64万元</c:v>
                </c:pt>
                <c:pt idx="2">
                  <c:v>卫生健康支出7.67万元</c:v>
                </c:pt>
                <c:pt idx="3">
                  <c:v>住房保障支出18.9万元</c:v>
                </c:pt>
              </c:strCache>
            </c:strRef>
          </c:cat>
          <c:val>
            <c:numRef>
              <c:f>Sheet1!$B$2:$B$5</c:f>
              <c:numCache>
                <c:formatCode>0.00_ </c:formatCode>
                <c:ptCount val="4"/>
                <c:pt idx="0">
                  <c:v>265.89</c:v>
                </c:pt>
                <c:pt idx="1">
                  <c:v>12.64</c:v>
                </c:pt>
                <c:pt idx="2">
                  <c:v>7.67</c:v>
                </c:pt>
                <c:pt idx="3">
                  <c:v>18.9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公务用车购置及运行维护费支出决算4.83万元</c:v>
                </c:pt>
                <c:pt idx="1">
                  <c:v>公务接待费支出决算0.83万元</c:v>
                </c:pt>
              </c:strCache>
            </c:strRef>
          </c:cat>
          <c:val>
            <c:numRef>
              <c:f>Sheet1!$B$2:$B$3</c:f>
              <c:numCache>
                <c:formatCode>General</c:formatCode>
                <c:ptCount val="2"/>
                <c:pt idx="0">
                  <c:v>4.83</c:v>
                </c:pt>
                <c:pt idx="1">
                  <c:v>0.83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0884944612286002"/>
          <c:y val="0.0140246493837654"/>
          <c:w val="0.863796576032226"/>
          <c:h val="0.12069698257543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63</Pages>
  <Words>25769</Words>
  <Characters>29169</Characters>
  <Lines>54</Lines>
  <Paragraphs>15</Paragraphs>
  <TotalTime>19</TotalTime>
  <ScaleCrop>false</ScaleCrop>
  <LinksUpToDate>false</LinksUpToDate>
  <CharactersWithSpaces>29429</CharactersWithSpaces>
  <Application>WPS Office_11.8.2.1120_F1E327BC-269C-435d-A152-05C5408002CA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2020-08-11T01:49:00Z</dcterms:created>
  <dc:creator>曹颖</dc:creator>
  <cp:lastModifiedBy>user</cp:lastModifiedBy>
  <cp:lastPrinted>2023-08-06T02:35:00Z</cp:lastPrinted>
  <dcterms:modified xsi:type="dcterms:W3CDTF">2024-09-30T16:23:17Z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2052-11.8.2.1120</vt:lpwstr>
  </property>
  <property fmtid="{D5CDD505-2E9C-101B-9397-08002B2CF9AE}" pid="3" name="ICV">
    <vt:lpwstr>E5D5787FE7F367BD1ADEEB66FAF16422</vt:lpwstr>
  </property>
</Properties>
</file>